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03A2" w14:textId="77777777" w:rsidR="0054618A" w:rsidRDefault="0054618A" w:rsidP="0054618A">
      <w:pPr>
        <w:pStyle w:val="Ttulo3"/>
        <w:rPr>
          <w:b/>
          <w:snapToGrid/>
          <w:sz w:val="28"/>
        </w:rPr>
      </w:pPr>
      <w:r>
        <w:rPr>
          <w:noProof/>
          <w:lang w:val="es-MX" w:eastAsia="es-MX"/>
        </w:rPr>
        <mc:AlternateContent>
          <mc:Choice Requires="wps">
            <w:drawing>
              <wp:anchor distT="45720" distB="45720" distL="114300" distR="114300" simplePos="0" relativeHeight="251660288" behindDoc="1" locked="0" layoutInCell="1" allowOverlap="1" wp14:anchorId="1191D9B7" wp14:editId="2359F110">
                <wp:simplePos x="0" y="0"/>
                <wp:positionH relativeFrom="margin">
                  <wp:align>right</wp:align>
                </wp:positionH>
                <wp:positionV relativeFrom="margin">
                  <wp:align>top</wp:align>
                </wp:positionV>
                <wp:extent cx="3112770" cy="266700"/>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997C04C" w14:textId="6F270FEF" w:rsidR="0054618A" w:rsidRDefault="0054618A" w:rsidP="0054618A">
                            <w:pPr>
                              <w:jc w:val="right"/>
                              <w:rPr>
                                <w:rFonts w:ascii="Arial" w:hAnsi="Arial" w:cs="Arial"/>
                                <w:b/>
                                <w:color w:val="FFFFFF" w:themeColor="background1"/>
                                <w:sz w:val="24"/>
                                <w:szCs w:val="24"/>
                                <w:shd w:val="clear" w:color="auto" w:fill="2E74B5" w:themeFill="accent1" w:themeFillShade="BF"/>
                                <w:lang w:val="pt-BR"/>
                              </w:rPr>
                            </w:pPr>
                            <w:r>
                              <w:rPr>
                                <w:rFonts w:ascii="Arial" w:hAnsi="Arial" w:cs="Arial"/>
                                <w:b/>
                                <w:color w:val="FFFFFF" w:themeColor="background1"/>
                                <w:sz w:val="24"/>
                                <w:szCs w:val="24"/>
                                <w:shd w:val="clear" w:color="auto" w:fill="2E74B5" w:themeFill="accent1" w:themeFillShade="BF"/>
                                <w:lang w:val="pt-BR"/>
                              </w:rPr>
                              <w:t xml:space="preserve">Próxima </w:t>
                            </w:r>
                            <w:proofErr w:type="spellStart"/>
                            <w:r>
                              <w:rPr>
                                <w:rFonts w:ascii="Arial" w:hAnsi="Arial" w:cs="Arial"/>
                                <w:b/>
                                <w:color w:val="FFFFFF" w:themeColor="background1"/>
                                <w:sz w:val="24"/>
                                <w:szCs w:val="24"/>
                                <w:shd w:val="clear" w:color="auto" w:fill="2E74B5" w:themeFill="accent1" w:themeFillShade="BF"/>
                                <w:lang w:val="pt-BR"/>
                              </w:rPr>
                              <w:t>publicación</w:t>
                            </w:r>
                            <w:proofErr w:type="spellEnd"/>
                            <w:r>
                              <w:rPr>
                                <w:rFonts w:ascii="Arial" w:hAnsi="Arial" w:cs="Arial"/>
                                <w:b/>
                                <w:color w:val="FFFFFF" w:themeColor="background1"/>
                                <w:sz w:val="24"/>
                                <w:szCs w:val="24"/>
                                <w:shd w:val="clear" w:color="auto" w:fill="2E74B5" w:themeFill="accent1" w:themeFillShade="BF"/>
                                <w:lang w:val="pt-BR"/>
                              </w:rPr>
                              <w:t xml:space="preserve">: </w:t>
                            </w:r>
                            <w:r w:rsidR="00261494">
                              <w:rPr>
                                <w:rFonts w:ascii="Arial" w:hAnsi="Arial" w:cs="Arial"/>
                                <w:b/>
                                <w:color w:val="FFFFFF" w:themeColor="background1"/>
                                <w:sz w:val="24"/>
                                <w:szCs w:val="24"/>
                                <w:shd w:val="clear" w:color="auto" w:fill="2E74B5" w:themeFill="accent1" w:themeFillShade="BF"/>
                                <w:lang w:val="pt-BR"/>
                              </w:rPr>
                              <w:t>29</w:t>
                            </w:r>
                            <w:r>
                              <w:rPr>
                                <w:rFonts w:ascii="Arial" w:hAnsi="Arial" w:cs="Arial"/>
                                <w:b/>
                                <w:color w:val="FFFFFF" w:themeColor="background1"/>
                                <w:sz w:val="24"/>
                                <w:szCs w:val="24"/>
                                <w:shd w:val="clear" w:color="auto" w:fill="2E74B5" w:themeFill="accent1" w:themeFillShade="BF"/>
                                <w:lang w:val="pt-BR"/>
                              </w:rPr>
                              <w:t xml:space="preserve"> de </w:t>
                            </w:r>
                            <w:proofErr w:type="spellStart"/>
                            <w:r>
                              <w:rPr>
                                <w:rFonts w:ascii="Arial" w:hAnsi="Arial" w:cs="Arial"/>
                                <w:b/>
                                <w:color w:val="FFFFFF" w:themeColor="background1"/>
                                <w:sz w:val="24"/>
                                <w:szCs w:val="24"/>
                                <w:shd w:val="clear" w:color="auto" w:fill="2E74B5" w:themeFill="accent1" w:themeFillShade="BF"/>
                                <w:lang w:val="pt-BR"/>
                              </w:rPr>
                              <w:t>o</w:t>
                            </w:r>
                            <w:r w:rsidR="00261494">
                              <w:rPr>
                                <w:rFonts w:ascii="Arial" w:hAnsi="Arial" w:cs="Arial"/>
                                <w:b/>
                                <w:color w:val="FFFFFF" w:themeColor="background1"/>
                                <w:sz w:val="24"/>
                                <w:szCs w:val="24"/>
                                <w:shd w:val="clear" w:color="auto" w:fill="2E74B5" w:themeFill="accent1" w:themeFillShade="BF"/>
                                <w:lang w:val="pt-BR"/>
                              </w:rPr>
                              <w:t>ctubre</w:t>
                            </w:r>
                            <w:proofErr w:type="spellEnd"/>
                          </w:p>
                          <w:p w14:paraId="0DB8F3C9" w14:textId="77777777" w:rsidR="0054618A" w:rsidRDefault="0054618A" w:rsidP="0054618A">
                            <w:pPr>
                              <w:jc w:val="right"/>
                              <w:rPr>
                                <w:rFonts w:ascii="Arial" w:hAnsi="Arial" w:cs="Arial"/>
                                <w:b/>
                                <w:color w:val="FFFFFF" w:themeColor="background1"/>
                                <w:sz w:val="24"/>
                                <w:szCs w:val="24"/>
                                <w:shd w:val="clear" w:color="auto" w:fill="2E74B5" w:themeFill="accent1" w:themeFillShade="BF"/>
                                <w:lang w:val="pt-BR"/>
                              </w:rPr>
                            </w:pPr>
                          </w:p>
                          <w:p w14:paraId="0B6D2723" w14:textId="77777777" w:rsidR="0054618A" w:rsidRDefault="0054618A" w:rsidP="0054618A">
                            <w:pPr>
                              <w:jc w:val="right"/>
                              <w:rPr>
                                <w:rFonts w:ascii="Arial" w:hAnsi="Arial" w:cs="Arial"/>
                                <w:sz w:val="24"/>
                                <w:szCs w:val="24"/>
                              </w:rPr>
                            </w:pPr>
                            <w:r>
                              <w:rPr>
                                <w:rFonts w:ascii="Arial" w:hAnsi="Arial" w:cs="Arial"/>
                                <w:b/>
                                <w:color w:val="FFFFFF" w:themeColor="background1"/>
                                <w:sz w:val="24"/>
                                <w:szCs w:val="24"/>
                                <w:shd w:val="clear" w:color="auto" w:fill="2E74B5" w:themeFill="accent1" w:themeFillShade="BF"/>
                                <w:lang w:val="pt-BR"/>
                              </w:rPr>
                              <w:t xml:space="preserve"> </w:t>
                            </w:r>
                            <w:proofErr w:type="spellStart"/>
                            <w:r>
                              <w:rPr>
                                <w:rFonts w:ascii="Arial" w:hAnsi="Arial" w:cs="Arial"/>
                                <w:b/>
                                <w:color w:val="FFFFFF" w:themeColor="background1"/>
                                <w:sz w:val="24"/>
                                <w:szCs w:val="24"/>
                                <w:shd w:val="clear" w:color="auto" w:fill="2E74B5" w:themeFill="accent1" w:themeFillShade="BF"/>
                                <w:lang w:val="pt-BR"/>
                              </w:rPr>
                              <w:t>SEPTIEMBREsto</w:t>
                            </w:r>
                            <w:proofErr w:type="spellEnd"/>
                            <w:r>
                              <w:rPr>
                                <w:rFonts w:ascii="Arial" w:hAnsi="Arial" w:cs="Arial"/>
                                <w:b/>
                                <w:color w:val="FFFFFF" w:themeColor="background1"/>
                                <w:sz w:val="24"/>
                                <w:szCs w:val="24"/>
                                <w:shd w:val="clear" w:color="auto" w:fill="2E74B5"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191D9B7" id="_x0000_t202" coordsize="21600,21600" o:spt="202" path="m,l,21600r21600,l21600,xe">
                <v:stroke joinstyle="miter"/>
                <v:path gradientshapeok="t" o:connecttype="rect"/>
              </v:shapetype>
              <v:shape id="Cuadro de texto 217" o:spid="_x0000_s1026" type="#_x0000_t202" style="position:absolute;left:0;text-align:left;margin-left:193.9pt;margin-top:0;width:245.1pt;height:21pt;z-index:-25165619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" stroked="f">
                <v:textbox>
                  <w:txbxContent>
                    <w:p w14:paraId="3997C04C" w14:textId="6F270FEF" w:rsidR="0054618A" w:rsidRDefault="0054618A" w:rsidP="0054618A">
                      <w:pPr>
                        <w:jc w:val="right"/>
                        <w:rPr>
                          <w:rFonts w:ascii="Arial" w:hAnsi="Arial" w:cs="Arial"/>
                          <w:b/>
                          <w:color w:val="FFFFFF" w:themeColor="background1"/>
                          <w:sz w:val="24"/>
                          <w:szCs w:val="24"/>
                          <w:shd w:val="clear" w:color="auto" w:fill="2E74B5" w:themeFill="accent1" w:themeFillShade="BF"/>
                          <w:lang w:val="pt-BR"/>
                        </w:rPr>
                      </w:pPr>
                      <w:r>
                        <w:rPr>
                          <w:rFonts w:ascii="Arial" w:hAnsi="Arial" w:cs="Arial"/>
                          <w:b/>
                          <w:color w:val="FFFFFF" w:themeColor="background1"/>
                          <w:sz w:val="24"/>
                          <w:szCs w:val="24"/>
                          <w:shd w:val="clear" w:color="auto" w:fill="2E74B5" w:themeFill="accent1" w:themeFillShade="BF"/>
                          <w:lang w:val="pt-BR"/>
                        </w:rPr>
                        <w:t xml:space="preserve">Próxima </w:t>
                      </w:r>
                      <w:proofErr w:type="spellStart"/>
                      <w:r>
                        <w:rPr>
                          <w:rFonts w:ascii="Arial" w:hAnsi="Arial" w:cs="Arial"/>
                          <w:b/>
                          <w:color w:val="FFFFFF" w:themeColor="background1"/>
                          <w:sz w:val="24"/>
                          <w:szCs w:val="24"/>
                          <w:shd w:val="clear" w:color="auto" w:fill="2E74B5" w:themeFill="accent1" w:themeFillShade="BF"/>
                          <w:lang w:val="pt-BR"/>
                        </w:rPr>
                        <w:t>publicación</w:t>
                      </w:r>
                      <w:proofErr w:type="spellEnd"/>
                      <w:r>
                        <w:rPr>
                          <w:rFonts w:ascii="Arial" w:hAnsi="Arial" w:cs="Arial"/>
                          <w:b/>
                          <w:color w:val="FFFFFF" w:themeColor="background1"/>
                          <w:sz w:val="24"/>
                          <w:szCs w:val="24"/>
                          <w:shd w:val="clear" w:color="auto" w:fill="2E74B5" w:themeFill="accent1" w:themeFillShade="BF"/>
                          <w:lang w:val="pt-BR"/>
                        </w:rPr>
                        <w:t xml:space="preserve">: </w:t>
                      </w:r>
                      <w:r w:rsidR="00261494">
                        <w:rPr>
                          <w:rFonts w:ascii="Arial" w:hAnsi="Arial" w:cs="Arial"/>
                          <w:b/>
                          <w:color w:val="FFFFFF" w:themeColor="background1"/>
                          <w:sz w:val="24"/>
                          <w:szCs w:val="24"/>
                          <w:shd w:val="clear" w:color="auto" w:fill="2E74B5" w:themeFill="accent1" w:themeFillShade="BF"/>
                          <w:lang w:val="pt-BR"/>
                        </w:rPr>
                        <w:t>29</w:t>
                      </w:r>
                      <w:r>
                        <w:rPr>
                          <w:rFonts w:ascii="Arial" w:hAnsi="Arial" w:cs="Arial"/>
                          <w:b/>
                          <w:color w:val="FFFFFF" w:themeColor="background1"/>
                          <w:sz w:val="24"/>
                          <w:szCs w:val="24"/>
                          <w:shd w:val="clear" w:color="auto" w:fill="2E74B5" w:themeFill="accent1" w:themeFillShade="BF"/>
                          <w:lang w:val="pt-BR"/>
                        </w:rPr>
                        <w:t xml:space="preserve"> de </w:t>
                      </w:r>
                      <w:proofErr w:type="spellStart"/>
                      <w:r>
                        <w:rPr>
                          <w:rFonts w:ascii="Arial" w:hAnsi="Arial" w:cs="Arial"/>
                          <w:b/>
                          <w:color w:val="FFFFFF" w:themeColor="background1"/>
                          <w:sz w:val="24"/>
                          <w:szCs w:val="24"/>
                          <w:shd w:val="clear" w:color="auto" w:fill="2E74B5" w:themeFill="accent1" w:themeFillShade="BF"/>
                          <w:lang w:val="pt-BR"/>
                        </w:rPr>
                        <w:t>o</w:t>
                      </w:r>
                      <w:r w:rsidR="00261494">
                        <w:rPr>
                          <w:rFonts w:ascii="Arial" w:hAnsi="Arial" w:cs="Arial"/>
                          <w:b/>
                          <w:color w:val="FFFFFF" w:themeColor="background1"/>
                          <w:sz w:val="24"/>
                          <w:szCs w:val="24"/>
                          <w:shd w:val="clear" w:color="auto" w:fill="2E74B5" w:themeFill="accent1" w:themeFillShade="BF"/>
                          <w:lang w:val="pt-BR"/>
                        </w:rPr>
                        <w:t>ctubre</w:t>
                      </w:r>
                      <w:proofErr w:type="spellEnd"/>
                    </w:p>
                    <w:p w14:paraId="0DB8F3C9" w14:textId="77777777" w:rsidR="0054618A" w:rsidRDefault="0054618A" w:rsidP="0054618A">
                      <w:pPr>
                        <w:jc w:val="right"/>
                        <w:rPr>
                          <w:rFonts w:ascii="Arial" w:hAnsi="Arial" w:cs="Arial"/>
                          <w:b/>
                          <w:color w:val="FFFFFF" w:themeColor="background1"/>
                          <w:sz w:val="24"/>
                          <w:szCs w:val="24"/>
                          <w:shd w:val="clear" w:color="auto" w:fill="2E74B5" w:themeFill="accent1" w:themeFillShade="BF"/>
                          <w:lang w:val="pt-BR"/>
                        </w:rPr>
                      </w:pPr>
                    </w:p>
                    <w:p w14:paraId="0B6D2723" w14:textId="77777777" w:rsidR="0054618A" w:rsidRDefault="0054618A" w:rsidP="0054618A">
                      <w:pPr>
                        <w:jc w:val="right"/>
                        <w:rPr>
                          <w:rFonts w:ascii="Arial" w:hAnsi="Arial" w:cs="Arial"/>
                          <w:sz w:val="24"/>
                          <w:szCs w:val="24"/>
                        </w:rPr>
                      </w:pPr>
                      <w:r>
                        <w:rPr>
                          <w:rFonts w:ascii="Arial" w:hAnsi="Arial" w:cs="Arial"/>
                          <w:b/>
                          <w:color w:val="FFFFFF" w:themeColor="background1"/>
                          <w:sz w:val="24"/>
                          <w:szCs w:val="24"/>
                          <w:shd w:val="clear" w:color="auto" w:fill="2E74B5" w:themeFill="accent1" w:themeFillShade="BF"/>
                          <w:lang w:val="pt-BR"/>
                        </w:rPr>
                        <w:t xml:space="preserve"> </w:t>
                      </w:r>
                      <w:proofErr w:type="spellStart"/>
                      <w:r>
                        <w:rPr>
                          <w:rFonts w:ascii="Arial" w:hAnsi="Arial" w:cs="Arial"/>
                          <w:b/>
                          <w:color w:val="FFFFFF" w:themeColor="background1"/>
                          <w:sz w:val="24"/>
                          <w:szCs w:val="24"/>
                          <w:shd w:val="clear" w:color="auto" w:fill="2E74B5" w:themeFill="accent1" w:themeFillShade="BF"/>
                          <w:lang w:val="pt-BR"/>
                        </w:rPr>
                        <w:t>SEPTIEMBREsto</w:t>
                      </w:r>
                      <w:proofErr w:type="spellEnd"/>
                      <w:r>
                        <w:rPr>
                          <w:rFonts w:ascii="Arial" w:hAnsi="Arial" w:cs="Arial"/>
                          <w:b/>
                          <w:color w:val="FFFFFF" w:themeColor="background1"/>
                          <w:sz w:val="24"/>
                          <w:szCs w:val="24"/>
                          <w:shd w:val="clear" w:color="auto" w:fill="2E74B5" w:themeFill="accent1" w:themeFillShade="BF"/>
                          <w:lang w:val="pt-BR"/>
                        </w:rPr>
                        <w:t xml:space="preserve">   </w:t>
                      </w:r>
                    </w:p>
                  </w:txbxContent>
                </v:textbox>
                <w10:wrap anchorx="margin" anchory="margin"/>
              </v:shape>
            </w:pict>
          </mc:Fallback>
        </mc:AlternateContent>
      </w:r>
    </w:p>
    <w:p w14:paraId="56FB3AFD" w14:textId="77777777" w:rsidR="0054618A" w:rsidRDefault="0054618A" w:rsidP="0054618A">
      <w:pPr>
        <w:pStyle w:val="Ttulo3"/>
        <w:rPr>
          <w:rFonts w:ascii="Times New Roman" w:hAnsi="Times New Roman"/>
          <w:b/>
          <w:sz w:val="20"/>
        </w:rPr>
      </w:pPr>
    </w:p>
    <w:p w14:paraId="7F12CD47" w14:textId="77777777" w:rsidR="003B0D99" w:rsidRDefault="00804105" w:rsidP="003B0D99">
      <w:pPr>
        <w:pStyle w:val="Ttulo3"/>
        <w:rPr>
          <w:b/>
          <w:szCs w:val="24"/>
        </w:rPr>
      </w:pPr>
      <w:r>
        <w:rPr>
          <w:b/>
          <w:sz w:val="28"/>
        </w:rPr>
        <w:t xml:space="preserve"> </w:t>
      </w:r>
      <w:r w:rsidR="00BE7770" w:rsidRPr="00150172">
        <w:rPr>
          <w:b/>
          <w:szCs w:val="24"/>
        </w:rPr>
        <w:t xml:space="preserve">INDICADOR TRIMESTRAL DE LA ACTIVIDAD ECONÓMICA ESTATAL </w:t>
      </w:r>
      <w:r w:rsidR="0066295A" w:rsidRPr="00150172">
        <w:rPr>
          <w:b/>
          <w:szCs w:val="24"/>
        </w:rPr>
        <w:t>(ITAEE)</w:t>
      </w:r>
      <w:r w:rsidR="00F52026" w:rsidRPr="00150172">
        <w:rPr>
          <w:b/>
          <w:szCs w:val="24"/>
        </w:rPr>
        <w:t xml:space="preserve">, </w:t>
      </w:r>
    </w:p>
    <w:p w14:paraId="0F5A270A" w14:textId="77777777" w:rsidR="00583FB0" w:rsidRPr="00150172" w:rsidRDefault="00057765" w:rsidP="003B0D99">
      <w:pPr>
        <w:pStyle w:val="Ttulo3"/>
        <w:rPr>
          <w:b/>
          <w:szCs w:val="24"/>
        </w:rPr>
      </w:pPr>
      <w:r w:rsidRPr="00150172">
        <w:rPr>
          <w:b/>
          <w:szCs w:val="24"/>
        </w:rPr>
        <w:t xml:space="preserve">PARA </w:t>
      </w:r>
      <w:r w:rsidR="007C2633">
        <w:rPr>
          <w:b/>
          <w:szCs w:val="24"/>
        </w:rPr>
        <w:t>MORELOS</w:t>
      </w:r>
      <w:r w:rsidR="00150172" w:rsidRPr="00150172">
        <w:rPr>
          <w:b/>
          <w:szCs w:val="24"/>
        </w:rPr>
        <w:t xml:space="preserve"> </w:t>
      </w:r>
      <w:r w:rsidR="00F52026" w:rsidRPr="00150172">
        <w:rPr>
          <w:b/>
          <w:szCs w:val="24"/>
        </w:rPr>
        <w:t xml:space="preserve">DURANTE EL </w:t>
      </w:r>
      <w:r w:rsidR="00261494">
        <w:rPr>
          <w:b/>
          <w:szCs w:val="24"/>
        </w:rPr>
        <w:t>PRIMER TRIMESTRE DE 2019</w:t>
      </w:r>
    </w:p>
    <w:p w14:paraId="1098630F" w14:textId="77777777" w:rsidR="0066295A" w:rsidRPr="0066295A" w:rsidRDefault="00704C2F" w:rsidP="003B0D99">
      <w:pPr>
        <w:pStyle w:val="Sangranormal"/>
      </w:pPr>
      <w:r>
        <w:t xml:space="preserve"> </w:t>
      </w:r>
    </w:p>
    <w:p w14:paraId="411CE14F" w14:textId="77777777" w:rsidR="005B53C9" w:rsidRPr="003B0D99" w:rsidRDefault="00BB3272" w:rsidP="003B0D99">
      <w:pPr>
        <w:widowControl/>
        <w:ind w:right="163"/>
        <w:jc w:val="both"/>
        <w:rPr>
          <w:rFonts w:ascii="Arial" w:hAnsi="Arial" w:cs="Arial"/>
          <w:sz w:val="22"/>
          <w:szCs w:val="22"/>
        </w:rPr>
      </w:pPr>
      <w:r w:rsidRPr="003B0D99">
        <w:rPr>
          <w:rFonts w:ascii="Arial" w:hAnsi="Arial" w:cs="Arial"/>
          <w:sz w:val="22"/>
          <w:szCs w:val="22"/>
        </w:rPr>
        <w:t>El ITAEE</w:t>
      </w:r>
      <w:r w:rsidR="00B72924" w:rsidRPr="003B0D99">
        <w:rPr>
          <w:rFonts w:ascii="Arial" w:hAnsi="Arial" w:cs="Arial"/>
          <w:sz w:val="22"/>
          <w:szCs w:val="22"/>
        </w:rPr>
        <w:t xml:space="preserve"> es un indicador de coyuntura que ofrece un panorama sobre la evolución económica de las entidades federativas del país</w:t>
      </w:r>
      <w:r w:rsidR="00620102" w:rsidRPr="003B0D99">
        <w:rPr>
          <w:rFonts w:ascii="Arial" w:hAnsi="Arial" w:cs="Arial"/>
          <w:smallCaps/>
          <w:color w:val="000000"/>
          <w:sz w:val="22"/>
          <w:szCs w:val="22"/>
          <w:vertAlign w:val="superscript"/>
        </w:rPr>
        <w:footnoteReference w:id="1"/>
      </w:r>
      <w:r w:rsidR="00B72924" w:rsidRPr="003B0D99">
        <w:rPr>
          <w:rFonts w:ascii="Arial" w:hAnsi="Arial" w:cs="Arial"/>
          <w:sz w:val="22"/>
          <w:szCs w:val="22"/>
        </w:rPr>
        <w:t>.</w:t>
      </w:r>
    </w:p>
    <w:p w14:paraId="0BFC69A5" w14:textId="77777777" w:rsidR="00B72924" w:rsidRPr="003B0D99" w:rsidRDefault="00B72924" w:rsidP="003B0D99">
      <w:pPr>
        <w:widowControl/>
        <w:ind w:right="163"/>
        <w:jc w:val="both"/>
        <w:rPr>
          <w:rFonts w:ascii="Arial" w:hAnsi="Arial" w:cs="Arial"/>
          <w:sz w:val="22"/>
          <w:szCs w:val="22"/>
        </w:rPr>
      </w:pPr>
    </w:p>
    <w:p w14:paraId="6D6D9F87" w14:textId="77777777" w:rsidR="00B72924" w:rsidRPr="003B0D99" w:rsidRDefault="00B72924" w:rsidP="003B0D99">
      <w:pPr>
        <w:widowControl/>
        <w:ind w:right="163"/>
        <w:jc w:val="both"/>
        <w:rPr>
          <w:rFonts w:ascii="Arial" w:hAnsi="Arial" w:cs="Arial"/>
          <w:sz w:val="22"/>
          <w:szCs w:val="22"/>
        </w:rPr>
      </w:pPr>
      <w:r w:rsidRPr="003B0D99">
        <w:rPr>
          <w:rFonts w:ascii="Arial" w:hAnsi="Arial" w:cs="Arial"/>
          <w:sz w:val="22"/>
          <w:szCs w:val="22"/>
        </w:rPr>
        <w:t>Al igual que todos los productos derivados del Sistema de Cuentas Nacionales de México, en los cálculos que aquí se ofrecen se incorporaron los conceptos y metodologías en materia de contabilidad nacional</w:t>
      </w:r>
      <w:r w:rsidR="0063422C" w:rsidRPr="003B0D99">
        <w:rPr>
          <w:rFonts w:ascii="Arial" w:hAnsi="Arial" w:cs="Arial"/>
          <w:sz w:val="22"/>
          <w:szCs w:val="22"/>
        </w:rPr>
        <w:t>,</w:t>
      </w:r>
      <w:r w:rsidRPr="003B0D99">
        <w:rPr>
          <w:rFonts w:ascii="Arial" w:hAnsi="Arial" w:cs="Arial"/>
          <w:sz w:val="22"/>
          <w:szCs w:val="22"/>
        </w:rPr>
        <w:t xml:space="preserve"> sugeridos por organismos internacionales plasmados en el Manual del Sistema de Cuentas Nacionales </w:t>
      </w:r>
      <w:r w:rsidR="00341DA9" w:rsidRPr="003B0D99">
        <w:rPr>
          <w:rFonts w:ascii="Arial" w:hAnsi="Arial" w:cs="Arial"/>
          <w:sz w:val="22"/>
          <w:szCs w:val="22"/>
        </w:rPr>
        <w:t>20</w:t>
      </w:r>
      <w:r w:rsidR="00346CF0" w:rsidRPr="003B0D99">
        <w:rPr>
          <w:rFonts w:ascii="Arial" w:hAnsi="Arial" w:cs="Arial"/>
          <w:sz w:val="22"/>
          <w:szCs w:val="22"/>
        </w:rPr>
        <w:t>08</w:t>
      </w:r>
      <w:r w:rsidRPr="003B0D99">
        <w:rPr>
          <w:rFonts w:ascii="Arial" w:hAnsi="Arial" w:cs="Arial"/>
          <w:sz w:val="22"/>
          <w:szCs w:val="22"/>
        </w:rPr>
        <w:t>.</w:t>
      </w:r>
    </w:p>
    <w:p w14:paraId="218DEDEA" w14:textId="77777777" w:rsidR="003B0D99" w:rsidRPr="003B0D99" w:rsidRDefault="003B0D99" w:rsidP="003B0D99">
      <w:pPr>
        <w:widowControl/>
        <w:ind w:right="163"/>
        <w:jc w:val="both"/>
        <w:rPr>
          <w:rFonts w:ascii="Arial" w:hAnsi="Arial" w:cs="Arial"/>
          <w:sz w:val="22"/>
          <w:szCs w:val="22"/>
        </w:rPr>
      </w:pPr>
    </w:p>
    <w:p w14:paraId="5CECE4D3" w14:textId="1D364D91" w:rsidR="0029070A" w:rsidRPr="003B0D99" w:rsidRDefault="008C3C67" w:rsidP="003B0D99">
      <w:pPr>
        <w:pStyle w:val="Textodebloque"/>
        <w:tabs>
          <w:tab w:val="left" w:pos="360"/>
        </w:tabs>
        <w:spacing w:before="0"/>
        <w:ind w:left="0" w:right="163"/>
        <w:jc w:val="both"/>
        <w:rPr>
          <w:rFonts w:cs="Arial"/>
          <w:b w:val="0"/>
          <w:caps w:val="0"/>
          <w:sz w:val="22"/>
          <w:szCs w:val="22"/>
        </w:rPr>
      </w:pPr>
      <w:r>
        <w:rPr>
          <w:rFonts w:cs="Arial"/>
          <w:b w:val="0"/>
          <w:caps w:val="0"/>
          <w:sz w:val="22"/>
          <w:szCs w:val="22"/>
        </w:rPr>
        <w:t>P</w:t>
      </w:r>
      <w:r w:rsidRPr="003B0D99">
        <w:rPr>
          <w:rFonts w:cs="Arial"/>
          <w:b w:val="0"/>
          <w:caps w:val="0"/>
          <w:sz w:val="22"/>
          <w:szCs w:val="22"/>
        </w:rPr>
        <w:t xml:space="preserve">ara el </w:t>
      </w:r>
      <w:r w:rsidR="00261494">
        <w:rPr>
          <w:rFonts w:cs="Arial"/>
          <w:b w:val="0"/>
          <w:caps w:val="0"/>
          <w:sz w:val="22"/>
          <w:szCs w:val="22"/>
        </w:rPr>
        <w:t>primer trimestre de 2019</w:t>
      </w:r>
      <w:r>
        <w:rPr>
          <w:rFonts w:cs="Arial"/>
          <w:b w:val="0"/>
          <w:caps w:val="0"/>
          <w:sz w:val="22"/>
          <w:szCs w:val="22"/>
        </w:rPr>
        <w:t xml:space="preserve">, </w:t>
      </w:r>
      <w:r w:rsidR="007C2633">
        <w:rPr>
          <w:rFonts w:cs="Arial"/>
          <w:b w:val="0"/>
          <w:caps w:val="0"/>
          <w:snapToGrid w:val="0"/>
          <w:sz w:val="22"/>
          <w:szCs w:val="22"/>
        </w:rPr>
        <w:t>Morelos</w:t>
      </w:r>
      <w:r w:rsidR="00670A87" w:rsidRPr="003B0D99">
        <w:rPr>
          <w:rFonts w:cs="Arial"/>
          <w:b w:val="0"/>
          <w:caps w:val="0"/>
          <w:snapToGrid w:val="0"/>
          <w:sz w:val="22"/>
          <w:szCs w:val="22"/>
        </w:rPr>
        <w:t xml:space="preserve"> </w:t>
      </w:r>
      <w:r w:rsidR="00C16A1B" w:rsidRPr="003B0D99">
        <w:rPr>
          <w:rFonts w:cs="Arial"/>
          <w:b w:val="0"/>
          <w:caps w:val="0"/>
          <w:sz w:val="22"/>
          <w:szCs w:val="22"/>
        </w:rPr>
        <w:t xml:space="preserve">presentó </w:t>
      </w:r>
      <w:r w:rsidR="005F350D" w:rsidRPr="003B0D99">
        <w:rPr>
          <w:rFonts w:cs="Arial"/>
          <w:b w:val="0"/>
          <w:caps w:val="0"/>
          <w:sz w:val="22"/>
          <w:szCs w:val="22"/>
        </w:rPr>
        <w:t>un</w:t>
      </w:r>
      <w:r w:rsidR="008226DB" w:rsidRPr="003B0D99">
        <w:rPr>
          <w:rFonts w:cs="Arial"/>
          <w:b w:val="0"/>
          <w:caps w:val="0"/>
          <w:sz w:val="22"/>
          <w:szCs w:val="22"/>
        </w:rPr>
        <w:t xml:space="preserve">a variación </w:t>
      </w:r>
      <w:r w:rsidR="00BB3272" w:rsidRPr="003B0D99">
        <w:rPr>
          <w:rFonts w:cs="Arial"/>
          <w:b w:val="0"/>
          <w:caps w:val="0"/>
          <w:sz w:val="22"/>
          <w:szCs w:val="22"/>
        </w:rPr>
        <w:t>anual</w:t>
      </w:r>
      <w:r w:rsidR="005F350D" w:rsidRPr="003B0D99">
        <w:rPr>
          <w:rFonts w:cs="Arial"/>
          <w:b w:val="0"/>
          <w:caps w:val="0"/>
          <w:sz w:val="22"/>
          <w:szCs w:val="22"/>
        </w:rPr>
        <w:t xml:space="preserve"> </w:t>
      </w:r>
      <w:r w:rsidR="0029070A" w:rsidRPr="003B0D99">
        <w:rPr>
          <w:rFonts w:cs="Arial"/>
          <w:b w:val="0"/>
          <w:caps w:val="0"/>
          <w:sz w:val="22"/>
          <w:szCs w:val="22"/>
        </w:rPr>
        <w:t xml:space="preserve">en el total de su economía </w:t>
      </w:r>
      <w:r w:rsidR="008B595F" w:rsidRPr="003B0D99">
        <w:rPr>
          <w:rFonts w:cs="Arial"/>
          <w:b w:val="0"/>
          <w:caps w:val="0"/>
          <w:sz w:val="22"/>
          <w:szCs w:val="22"/>
        </w:rPr>
        <w:t xml:space="preserve">de </w:t>
      </w:r>
      <w:r w:rsidR="006C59B8">
        <w:rPr>
          <w:rFonts w:cs="Arial"/>
          <w:b w:val="0"/>
          <w:caps w:val="0"/>
          <w:sz w:val="22"/>
          <w:szCs w:val="22"/>
        </w:rPr>
        <w:t>0.7</w:t>
      </w:r>
      <w:r w:rsidR="00A226C3" w:rsidRPr="003B0D99">
        <w:rPr>
          <w:rFonts w:cs="Arial"/>
          <w:b w:val="0"/>
          <w:caps w:val="0"/>
          <w:sz w:val="22"/>
          <w:szCs w:val="22"/>
        </w:rPr>
        <w:t xml:space="preserve"> </w:t>
      </w:r>
      <w:r w:rsidR="00030F02" w:rsidRPr="003B0D99">
        <w:rPr>
          <w:rFonts w:cs="Arial"/>
          <w:b w:val="0"/>
          <w:caps w:val="0"/>
          <w:sz w:val="22"/>
          <w:szCs w:val="22"/>
        </w:rPr>
        <w:t>por ciento.</w:t>
      </w:r>
      <w:r w:rsidR="002871A3" w:rsidRPr="003B0D99">
        <w:rPr>
          <w:rFonts w:cs="Arial"/>
          <w:b w:val="0"/>
          <w:caps w:val="0"/>
          <w:sz w:val="22"/>
          <w:szCs w:val="22"/>
        </w:rPr>
        <w:t xml:space="preserve"> </w:t>
      </w:r>
    </w:p>
    <w:p w14:paraId="0713630C" w14:textId="77777777" w:rsidR="00150172" w:rsidRPr="00B86B38" w:rsidRDefault="00150172" w:rsidP="003B0D99">
      <w:pPr>
        <w:jc w:val="center"/>
        <w:rPr>
          <w:rFonts w:ascii="Arial" w:hAnsi="Arial" w:cs="Arial"/>
          <w:b/>
          <w:bCs/>
          <w:snapToGrid/>
          <w:sz w:val="16"/>
          <w:szCs w:val="16"/>
          <w:lang w:val="es-ES" w:eastAsia="es-MX"/>
        </w:rPr>
      </w:pPr>
    </w:p>
    <w:p w14:paraId="0DCB8886" w14:textId="77777777" w:rsidR="008529B4" w:rsidRDefault="00150172" w:rsidP="003B0D99">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544122E4" w14:textId="77777777" w:rsidR="00150172" w:rsidRDefault="007C2633" w:rsidP="003B0D99">
      <w:pPr>
        <w:jc w:val="center"/>
        <w:rPr>
          <w:rFonts w:ascii="Arial" w:hAnsi="Arial" w:cs="Arial"/>
          <w:b/>
          <w:bCs/>
          <w:snapToGrid/>
          <w:sz w:val="18"/>
          <w:szCs w:val="18"/>
          <w:lang w:val="es-ES" w:eastAsia="es-MX"/>
        </w:rPr>
      </w:pPr>
      <w:r>
        <w:rPr>
          <w:rFonts w:ascii="Arial" w:hAnsi="Arial" w:cs="Arial"/>
          <w:b/>
          <w:bCs/>
          <w:snapToGrid/>
          <w:sz w:val="22"/>
          <w:szCs w:val="22"/>
          <w:lang w:val="es-ES" w:eastAsia="es-MX"/>
        </w:rPr>
        <w:lastRenderedPageBreak/>
        <w:t>M</w:t>
      </w:r>
      <w:r w:rsidRPr="008D551D">
        <w:rPr>
          <w:rFonts w:ascii="Arial" w:hAnsi="Arial" w:cs="Arial"/>
          <w:b/>
          <w:bCs/>
          <w:snapToGrid/>
          <w:sz w:val="18"/>
          <w:szCs w:val="22"/>
          <w:lang w:val="es-ES" w:eastAsia="es-MX"/>
        </w:rPr>
        <w:t>ORELOS</w:t>
      </w:r>
    </w:p>
    <w:p w14:paraId="61E47718" w14:textId="77777777" w:rsidR="00150172" w:rsidRDefault="00150172" w:rsidP="003B0D99">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(Variación porcentual </w:t>
      </w:r>
      <w:r>
        <w:rPr>
          <w:rFonts w:ascii="Arial" w:hAnsi="Arial" w:cs="Arial"/>
          <w:b/>
          <w:snapToGrid/>
          <w:sz w:val="16"/>
          <w:szCs w:val="16"/>
          <w:lang w:val="es-ES" w:eastAsia="es-MX"/>
        </w:rPr>
        <w:t>real con respecto</w:t>
      </w:r>
      <w:r w:rsidRPr="0042168D">
        <w:rPr>
          <w:rFonts w:ascii="Arial" w:hAnsi="Arial" w:cs="Arial"/>
          <w:b/>
          <w:snapToGrid/>
          <w:sz w:val="16"/>
          <w:szCs w:val="16"/>
          <w:lang w:val="es-ES" w:eastAsia="es-MX"/>
        </w:rPr>
        <w:t xml:space="preserve"> al mismo periodo del año anterior</w:t>
      </w:r>
      <w:r>
        <w:rPr>
          <w:rFonts w:ascii="Arial" w:hAnsi="Arial" w:cs="Arial"/>
          <w:b/>
          <w:snapToGrid/>
          <w:sz w:val="16"/>
          <w:szCs w:val="16"/>
          <w:lang w:val="es-ES" w:eastAsia="es-MX"/>
        </w:rPr>
        <w:t>)</w:t>
      </w:r>
    </w:p>
    <w:p w14:paraId="14B9ADA3" w14:textId="77777777" w:rsidR="00150172" w:rsidRPr="00B86B38" w:rsidRDefault="00150172" w:rsidP="003B0D99">
      <w:pPr>
        <w:rPr>
          <w:rFonts w:ascii="Arial" w:hAnsi="Arial" w:cs="Arial"/>
          <w:b/>
          <w:bCs/>
          <w:snapToGrid/>
          <w:sz w:val="12"/>
          <w:szCs w:val="12"/>
          <w:lang w:val="es-ES" w:eastAsia="es-MX"/>
        </w:rPr>
      </w:pPr>
    </w:p>
    <w:tbl>
      <w:tblPr>
        <w:tblW w:w="8897" w:type="dxa"/>
        <w:tblBorders>
          <w:insideH w:val="single" w:sz="4" w:space="0" w:color="auto"/>
        </w:tblBorders>
        <w:tblLook w:val="04A0" w:firstRow="1" w:lastRow="0" w:firstColumn="1" w:lastColumn="0" w:noHBand="0" w:noVBand="1"/>
      </w:tblPr>
      <w:tblGrid>
        <w:gridCol w:w="5637"/>
        <w:gridCol w:w="3260"/>
      </w:tblGrid>
      <w:tr w:rsidR="00150172" w14:paraId="118EA799" w14:textId="77777777" w:rsidTr="000D0CF5">
        <w:tc>
          <w:tcPr>
            <w:tcW w:w="5637" w:type="dxa"/>
            <w:vAlign w:val="center"/>
          </w:tcPr>
          <w:p w14:paraId="3246F87E" w14:textId="77777777" w:rsidR="00150172" w:rsidRPr="00815078" w:rsidRDefault="00150172" w:rsidP="003B0D99">
            <w:pPr>
              <w:ind w:right="-688"/>
              <w:jc w:val="center"/>
              <w:rPr>
                <w:rFonts w:ascii="Arial" w:hAnsi="Arial" w:cs="Arial"/>
                <w:snapToGrid/>
                <w:sz w:val="16"/>
                <w:szCs w:val="16"/>
                <w:lang w:val="es-ES" w:eastAsia="es-MX"/>
              </w:rPr>
            </w:pPr>
            <w:r w:rsidRPr="00815078">
              <w:rPr>
                <w:rFonts w:ascii="Arial" w:hAnsi="Arial" w:cs="Arial"/>
                <w:b/>
                <w:bCs/>
                <w:snapToGrid/>
                <w:sz w:val="16"/>
                <w:szCs w:val="16"/>
                <w:lang w:val="es-ES" w:eastAsia="es-MX"/>
              </w:rPr>
              <w:t>Total de la Economía</w:t>
            </w:r>
          </w:p>
        </w:tc>
        <w:tc>
          <w:tcPr>
            <w:tcW w:w="3260" w:type="dxa"/>
            <w:vAlign w:val="bottom"/>
          </w:tcPr>
          <w:p w14:paraId="67B7CF0A" w14:textId="77777777" w:rsidR="00150172" w:rsidRPr="00815078" w:rsidRDefault="000D0CF5" w:rsidP="000D0CF5">
            <w:pPr>
              <w:ind w:firstLine="613"/>
              <w:jc w:val="center"/>
              <w:rPr>
                <w:rFonts w:ascii="Arial" w:hAnsi="Arial" w:cs="Arial"/>
                <w:b/>
                <w:bCs/>
                <w:snapToGrid/>
                <w:sz w:val="16"/>
                <w:szCs w:val="16"/>
                <w:lang w:val="es-ES" w:eastAsia="es-MX"/>
              </w:rPr>
            </w:pPr>
            <w:r>
              <w:rPr>
                <w:rFonts w:ascii="Arial" w:hAnsi="Arial" w:cs="Arial"/>
                <w:b/>
                <w:bCs/>
                <w:snapToGrid/>
                <w:sz w:val="16"/>
                <w:szCs w:val="16"/>
                <w:lang w:val="es-ES" w:eastAsia="es-MX"/>
              </w:rPr>
              <w:t>Por Actividad Económica</w:t>
            </w:r>
          </w:p>
        </w:tc>
      </w:tr>
    </w:tbl>
    <w:p w14:paraId="28C060D1" w14:textId="77777777" w:rsidR="00150172" w:rsidRPr="00D22497" w:rsidRDefault="00AE5E9E" w:rsidP="004A6216">
      <w:pPr>
        <w:jc w:val="center"/>
        <w:rPr>
          <w:rFonts w:ascii="Arial" w:hAnsi="Arial" w:cs="Arial"/>
          <w:snapToGrid/>
          <w:sz w:val="24"/>
          <w:szCs w:val="24"/>
          <w:lang w:eastAsia="es-MX"/>
        </w:rPr>
      </w:pPr>
      <w:r w:rsidRPr="00AE5E9E">
        <w:rPr>
          <w:noProof/>
          <w:lang w:val="es-MX" w:eastAsia="es-MX"/>
        </w:rPr>
        <w:drawing>
          <wp:inline distT="0" distB="0" distL="0" distR="0" wp14:anchorId="4C81B366" wp14:editId="26CC3FED">
            <wp:extent cx="5302800" cy="187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800" cy="1872000"/>
                    </a:xfrm>
                    <a:prstGeom prst="rect">
                      <a:avLst/>
                    </a:prstGeom>
                    <a:noFill/>
                    <a:ln>
                      <a:noFill/>
                    </a:ln>
                  </pic:spPr>
                </pic:pic>
              </a:graphicData>
            </a:graphic>
          </wp:inline>
        </w:drawing>
      </w:r>
    </w:p>
    <w:p w14:paraId="774EE94B" w14:textId="77777777" w:rsidR="00C328A0" w:rsidRDefault="00150172" w:rsidP="004A6216">
      <w:pPr>
        <w:ind w:firstLine="993"/>
        <w:jc w:val="both"/>
        <w:rPr>
          <w:rFonts w:ascii="Arial" w:hAnsi="Arial" w:cs="Arial"/>
          <w:sz w:val="16"/>
          <w:szCs w:val="16"/>
          <w:lang w:val="es-ES" w:eastAsia="es-MX"/>
        </w:rPr>
      </w:pPr>
      <w:r>
        <w:rPr>
          <w:rFonts w:ascii="Arial" w:hAnsi="Arial" w:cs="Arial"/>
          <w:sz w:val="16"/>
          <w:szCs w:val="16"/>
          <w:lang w:val="es-ES" w:eastAsia="es-MX"/>
        </w:rPr>
        <w:t>r/ Cifras revisadas</w:t>
      </w:r>
    </w:p>
    <w:p w14:paraId="2958EB5E" w14:textId="77777777" w:rsidR="00150172" w:rsidRDefault="00150172" w:rsidP="004A6216">
      <w:pPr>
        <w:ind w:firstLine="993"/>
        <w:jc w:val="both"/>
        <w:rPr>
          <w:rFonts w:ascii="Arial" w:hAnsi="Arial" w:cs="Arial"/>
          <w:sz w:val="16"/>
          <w:szCs w:val="16"/>
          <w:lang w:val="es-ES" w:eastAsia="es-MX"/>
        </w:rPr>
      </w:pPr>
      <w:r>
        <w:rPr>
          <w:rFonts w:ascii="Arial" w:hAnsi="Arial" w:cs="Arial"/>
          <w:sz w:val="16"/>
          <w:szCs w:val="16"/>
          <w:lang w:val="es-ES" w:eastAsia="es-MX"/>
        </w:rPr>
        <w:t>p/ Cifras preliminares</w:t>
      </w:r>
    </w:p>
    <w:p w14:paraId="534A3835" w14:textId="77777777" w:rsidR="00150172" w:rsidRPr="00150172" w:rsidRDefault="00150172" w:rsidP="004A6216">
      <w:pPr>
        <w:ind w:firstLine="993"/>
        <w:jc w:val="both"/>
        <w:rPr>
          <w:rFonts w:ascii="Arial" w:hAnsi="Arial" w:cs="Arial"/>
          <w:snapToGrid/>
          <w:sz w:val="16"/>
          <w:szCs w:val="16"/>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615B38E5" w14:textId="77777777" w:rsidR="003B0D99" w:rsidRPr="0047206F" w:rsidRDefault="003B0D99" w:rsidP="003B0D99">
      <w:pPr>
        <w:pStyle w:val="Textodebloque"/>
        <w:tabs>
          <w:tab w:val="left" w:pos="360"/>
        </w:tabs>
        <w:spacing w:before="0"/>
        <w:ind w:left="-567" w:right="-516"/>
        <w:jc w:val="both"/>
        <w:rPr>
          <w:rFonts w:cs="Arial"/>
          <w:b w:val="0"/>
          <w:caps w:val="0"/>
          <w:sz w:val="16"/>
          <w:szCs w:val="16"/>
        </w:rPr>
      </w:pPr>
    </w:p>
    <w:p w14:paraId="03A29BC3" w14:textId="77EAC521" w:rsidR="00503FC8" w:rsidRPr="003B0D99" w:rsidRDefault="00503FC8" w:rsidP="003B0D99">
      <w:pPr>
        <w:pStyle w:val="Textodebloque"/>
        <w:tabs>
          <w:tab w:val="left" w:pos="360"/>
        </w:tabs>
        <w:spacing w:before="0"/>
        <w:ind w:left="0" w:right="-120"/>
        <w:jc w:val="both"/>
        <w:rPr>
          <w:rFonts w:cs="Arial"/>
          <w:b w:val="0"/>
          <w:caps w:val="0"/>
          <w:sz w:val="22"/>
          <w:szCs w:val="22"/>
        </w:rPr>
      </w:pPr>
      <w:r w:rsidRPr="003B0D99">
        <w:rPr>
          <w:rFonts w:cs="Arial"/>
          <w:b w:val="0"/>
          <w:caps w:val="0"/>
          <w:sz w:val="22"/>
          <w:szCs w:val="22"/>
        </w:rPr>
        <w:t xml:space="preserve">Las Actividades </w:t>
      </w:r>
      <w:r w:rsidR="0074571A" w:rsidRPr="003B0D99">
        <w:rPr>
          <w:rFonts w:cs="Arial"/>
          <w:b w:val="0"/>
          <w:caps w:val="0"/>
          <w:sz w:val="22"/>
          <w:szCs w:val="22"/>
        </w:rPr>
        <w:t xml:space="preserve">Primarias </w:t>
      </w:r>
      <w:r w:rsidR="00655A40" w:rsidRPr="003B0D99">
        <w:rPr>
          <w:rFonts w:cs="Arial"/>
          <w:b w:val="0"/>
          <w:caps w:val="0"/>
          <w:sz w:val="22"/>
          <w:szCs w:val="22"/>
        </w:rPr>
        <w:t>tuvieron</w:t>
      </w:r>
      <w:r w:rsidR="00A226C3" w:rsidRPr="003B0D99">
        <w:rPr>
          <w:rFonts w:cs="Arial"/>
          <w:b w:val="0"/>
          <w:caps w:val="0"/>
          <w:sz w:val="22"/>
          <w:szCs w:val="22"/>
        </w:rPr>
        <w:t xml:space="preserve"> un </w:t>
      </w:r>
      <w:r w:rsidR="00B26B36">
        <w:rPr>
          <w:rFonts w:cs="Arial"/>
          <w:b w:val="0"/>
          <w:caps w:val="0"/>
          <w:sz w:val="22"/>
          <w:szCs w:val="22"/>
        </w:rPr>
        <w:t>in</w:t>
      </w:r>
      <w:r w:rsidR="00A226C3" w:rsidRPr="003B0D99">
        <w:rPr>
          <w:rFonts w:cs="Arial"/>
          <w:b w:val="0"/>
          <w:caps w:val="0"/>
          <w:sz w:val="22"/>
          <w:szCs w:val="22"/>
        </w:rPr>
        <w:t xml:space="preserve">cremento a tasa anual de </w:t>
      </w:r>
      <w:r w:rsidR="006C59B8">
        <w:rPr>
          <w:rFonts w:cs="Arial"/>
          <w:b w:val="0"/>
          <w:caps w:val="0"/>
          <w:sz w:val="22"/>
          <w:szCs w:val="22"/>
        </w:rPr>
        <w:t>1</w:t>
      </w:r>
      <w:r w:rsidR="00C40409">
        <w:rPr>
          <w:rFonts w:cs="Arial"/>
          <w:b w:val="0"/>
          <w:caps w:val="0"/>
          <w:sz w:val="22"/>
          <w:szCs w:val="22"/>
        </w:rPr>
        <w:t>2.</w:t>
      </w:r>
      <w:r w:rsidR="006C59B8">
        <w:rPr>
          <w:rFonts w:cs="Arial"/>
          <w:b w:val="0"/>
          <w:caps w:val="0"/>
          <w:sz w:val="22"/>
          <w:szCs w:val="22"/>
        </w:rPr>
        <w:t>5</w:t>
      </w:r>
      <w:r w:rsidRPr="003B0D99">
        <w:rPr>
          <w:rFonts w:cs="Arial"/>
          <w:b w:val="0"/>
          <w:caps w:val="0"/>
          <w:sz w:val="22"/>
          <w:szCs w:val="22"/>
        </w:rPr>
        <w:t xml:space="preserve"> por ciento.</w:t>
      </w:r>
    </w:p>
    <w:p w14:paraId="103E30E7" w14:textId="77777777" w:rsidR="003B0D99" w:rsidRPr="0047206F" w:rsidRDefault="003B0D99" w:rsidP="003B0D99">
      <w:pPr>
        <w:pStyle w:val="Textodebloque"/>
        <w:tabs>
          <w:tab w:val="left" w:pos="360"/>
        </w:tabs>
        <w:spacing w:before="0"/>
        <w:ind w:left="0" w:right="-120"/>
        <w:jc w:val="both"/>
        <w:rPr>
          <w:rFonts w:cs="Arial"/>
          <w:b w:val="0"/>
          <w:caps w:val="0"/>
          <w:sz w:val="16"/>
          <w:szCs w:val="16"/>
        </w:rPr>
      </w:pPr>
    </w:p>
    <w:p w14:paraId="3CE6D613" w14:textId="696D42C7" w:rsidR="0074571A" w:rsidRPr="003B0D99" w:rsidRDefault="0074571A" w:rsidP="003B0D99">
      <w:pPr>
        <w:pStyle w:val="Textodebloque"/>
        <w:tabs>
          <w:tab w:val="left" w:pos="360"/>
        </w:tabs>
        <w:spacing w:before="0"/>
        <w:ind w:left="0" w:right="-120"/>
        <w:jc w:val="both"/>
        <w:rPr>
          <w:rFonts w:cs="Arial"/>
          <w:b w:val="0"/>
          <w:caps w:val="0"/>
          <w:sz w:val="22"/>
          <w:szCs w:val="22"/>
        </w:rPr>
      </w:pPr>
      <w:r w:rsidRPr="003B0D99">
        <w:rPr>
          <w:rFonts w:cs="Arial"/>
          <w:b w:val="0"/>
          <w:caps w:val="0"/>
          <w:sz w:val="22"/>
          <w:szCs w:val="22"/>
        </w:rPr>
        <w:t>Mientras que</w:t>
      </w:r>
      <w:r w:rsidR="009830E4">
        <w:rPr>
          <w:rFonts w:cs="Arial"/>
          <w:b w:val="0"/>
          <w:caps w:val="0"/>
          <w:sz w:val="22"/>
          <w:szCs w:val="22"/>
        </w:rPr>
        <w:t>,</w:t>
      </w:r>
      <w:r w:rsidRPr="003B0D99">
        <w:rPr>
          <w:rFonts w:cs="Arial"/>
          <w:b w:val="0"/>
          <w:caps w:val="0"/>
          <w:sz w:val="22"/>
          <w:szCs w:val="22"/>
        </w:rPr>
        <w:t xml:space="preserve"> las Actividades Secundarias </w:t>
      </w:r>
      <w:r w:rsidR="006C59B8" w:rsidRPr="003B0D99">
        <w:rPr>
          <w:rFonts w:cs="Arial"/>
          <w:b w:val="0"/>
          <w:caps w:val="0"/>
          <w:sz w:val="22"/>
          <w:szCs w:val="22"/>
        </w:rPr>
        <w:t xml:space="preserve">fueron las que más influyeron en el comportamiento de la entidad, al registrar un movimiento anual de </w:t>
      </w:r>
      <w:r w:rsidR="006C59B8">
        <w:rPr>
          <w:rFonts w:cs="Arial"/>
          <w:b w:val="0"/>
          <w:caps w:val="0"/>
          <w:sz w:val="22"/>
          <w:szCs w:val="22"/>
        </w:rPr>
        <w:t>4.6</w:t>
      </w:r>
      <w:r w:rsidR="00655A40" w:rsidRPr="003B0D99">
        <w:rPr>
          <w:rFonts w:cs="Arial"/>
          <w:b w:val="0"/>
          <w:caps w:val="0"/>
          <w:sz w:val="22"/>
          <w:szCs w:val="22"/>
        </w:rPr>
        <w:t xml:space="preserve"> por ciento</w:t>
      </w:r>
      <w:r w:rsidR="003B0D99" w:rsidRPr="003B0D99">
        <w:rPr>
          <w:rFonts w:cs="Arial"/>
          <w:b w:val="0"/>
          <w:caps w:val="0"/>
          <w:sz w:val="22"/>
          <w:szCs w:val="22"/>
        </w:rPr>
        <w:t>.</w:t>
      </w:r>
    </w:p>
    <w:p w14:paraId="7EAF6DAA" w14:textId="77777777" w:rsidR="003B0D99" w:rsidRPr="001F3CA7" w:rsidRDefault="003B0D99" w:rsidP="003B0D99">
      <w:pPr>
        <w:pStyle w:val="Textodebloque"/>
        <w:tabs>
          <w:tab w:val="left" w:pos="360"/>
        </w:tabs>
        <w:spacing w:before="0"/>
        <w:ind w:left="0" w:right="-120"/>
        <w:jc w:val="both"/>
        <w:rPr>
          <w:rFonts w:cs="Arial"/>
          <w:b w:val="0"/>
          <w:caps w:val="0"/>
          <w:sz w:val="16"/>
          <w:szCs w:val="16"/>
        </w:rPr>
      </w:pPr>
    </w:p>
    <w:p w14:paraId="2B0F2000" w14:textId="0C08410B" w:rsidR="0074571A" w:rsidRDefault="00950C22" w:rsidP="003B0D99">
      <w:pPr>
        <w:pStyle w:val="Textodebloque"/>
        <w:tabs>
          <w:tab w:val="left" w:pos="360"/>
        </w:tabs>
        <w:spacing w:before="0"/>
        <w:ind w:left="0" w:right="-120"/>
        <w:jc w:val="both"/>
        <w:rPr>
          <w:rFonts w:cs="Arial"/>
          <w:b w:val="0"/>
          <w:caps w:val="0"/>
          <w:sz w:val="22"/>
          <w:szCs w:val="22"/>
        </w:rPr>
      </w:pPr>
      <w:r>
        <w:rPr>
          <w:rFonts w:cs="Arial"/>
          <w:b w:val="0"/>
          <w:caps w:val="0"/>
          <w:sz w:val="22"/>
          <w:szCs w:val="22"/>
        </w:rPr>
        <w:t>En tanto, l</w:t>
      </w:r>
      <w:r w:rsidR="0074571A" w:rsidRPr="003B0D99">
        <w:rPr>
          <w:rFonts w:cs="Arial"/>
          <w:b w:val="0"/>
          <w:caps w:val="0"/>
          <w:sz w:val="22"/>
          <w:szCs w:val="22"/>
        </w:rPr>
        <w:t xml:space="preserve">as Actividades Terciarias </w:t>
      </w:r>
      <w:r w:rsidR="006C59B8" w:rsidRPr="003B0D99">
        <w:rPr>
          <w:rFonts w:cs="Arial"/>
          <w:b w:val="0"/>
          <w:caps w:val="0"/>
          <w:sz w:val="22"/>
          <w:szCs w:val="22"/>
        </w:rPr>
        <w:t>repor</w:t>
      </w:r>
      <w:r w:rsidR="006C59B8">
        <w:rPr>
          <w:rFonts w:cs="Arial"/>
          <w:b w:val="0"/>
          <w:caps w:val="0"/>
          <w:sz w:val="22"/>
          <w:szCs w:val="22"/>
        </w:rPr>
        <w:t xml:space="preserve">taron un descenso anual de </w:t>
      </w:r>
      <w:r w:rsidR="00C40409">
        <w:rPr>
          <w:rFonts w:cs="Arial"/>
          <w:b w:val="0"/>
          <w:caps w:val="0"/>
          <w:sz w:val="22"/>
          <w:szCs w:val="22"/>
        </w:rPr>
        <w:t>(-)</w:t>
      </w:r>
      <w:r w:rsidR="006C59B8">
        <w:rPr>
          <w:rFonts w:cs="Arial"/>
          <w:b w:val="0"/>
          <w:caps w:val="0"/>
          <w:sz w:val="22"/>
          <w:szCs w:val="22"/>
        </w:rPr>
        <w:t>1.7</w:t>
      </w:r>
      <w:r w:rsidR="00655A40" w:rsidRPr="003B0D99">
        <w:rPr>
          <w:rFonts w:cs="Arial"/>
          <w:b w:val="0"/>
          <w:caps w:val="0"/>
          <w:sz w:val="22"/>
          <w:szCs w:val="22"/>
        </w:rPr>
        <w:t xml:space="preserve"> por ciento.</w:t>
      </w:r>
    </w:p>
    <w:p w14:paraId="33B3F367" w14:textId="77777777" w:rsidR="001F3CA7" w:rsidRPr="001F3CA7" w:rsidRDefault="001F3CA7" w:rsidP="003B0D99">
      <w:pPr>
        <w:pStyle w:val="Textodebloque"/>
        <w:tabs>
          <w:tab w:val="left" w:pos="360"/>
        </w:tabs>
        <w:spacing w:before="0"/>
        <w:ind w:left="0" w:right="-120"/>
        <w:jc w:val="both"/>
        <w:rPr>
          <w:rFonts w:cs="Arial"/>
          <w:b w:val="0"/>
          <w:caps w:val="0"/>
          <w:sz w:val="16"/>
          <w:szCs w:val="16"/>
        </w:rPr>
      </w:pPr>
    </w:p>
    <w:p w14:paraId="7E4B629C" w14:textId="77777777" w:rsidR="00150172" w:rsidRDefault="00150172" w:rsidP="00150172">
      <w:pPr>
        <w:pStyle w:val="Prrafodelista"/>
        <w:widowControl/>
        <w:spacing w:after="80"/>
        <w:jc w:val="center"/>
        <w:rPr>
          <w:rFonts w:ascii="Arial" w:eastAsia="Calibri" w:hAnsi="Arial" w:cs="Arial"/>
          <w:b/>
        </w:rPr>
      </w:pPr>
      <w:r w:rsidRPr="00E44C8D">
        <w:rPr>
          <w:rFonts w:ascii="Arial" w:eastAsia="Calibri" w:hAnsi="Arial" w:cs="Arial"/>
          <w:b/>
        </w:rPr>
        <w:t>Se anexa Nota Técnica</w:t>
      </w:r>
    </w:p>
    <w:p w14:paraId="2D12E6DF" w14:textId="77777777" w:rsidR="00150172" w:rsidRPr="00FF75D9" w:rsidRDefault="00150172" w:rsidP="00150172">
      <w:pPr>
        <w:pStyle w:val="Prrafodelista"/>
        <w:widowControl/>
        <w:spacing w:after="80"/>
        <w:jc w:val="center"/>
        <w:rPr>
          <w:rFonts w:ascii="Arial" w:eastAsia="Calibri" w:hAnsi="Arial" w:cs="Arial"/>
          <w:sz w:val="16"/>
          <w:szCs w:val="16"/>
        </w:rPr>
      </w:pPr>
    </w:p>
    <w:p w14:paraId="022D939C" w14:textId="39B094E0" w:rsidR="0039220C" w:rsidRDefault="00150172" w:rsidP="003B0D99">
      <w:pPr>
        <w:pStyle w:val="NormalWeb"/>
        <w:spacing w:before="0" w:beforeAutospacing="0" w:after="0" w:afterAutospacing="0"/>
        <w:contextualSpacing/>
        <w:jc w:val="center"/>
        <w:rPr>
          <w:sz w:val="20"/>
          <w:szCs w:val="20"/>
        </w:rPr>
      </w:pPr>
      <w:r w:rsidRPr="00D15DE0">
        <w:rPr>
          <w:sz w:val="20"/>
          <w:szCs w:val="20"/>
        </w:rPr>
        <w:lastRenderedPageBreak/>
        <w:t>Para consultas de medios y periodistas, contactar a</w:t>
      </w:r>
      <w:r w:rsidR="0039220C">
        <w:rPr>
          <w:sz w:val="20"/>
          <w:szCs w:val="20"/>
        </w:rPr>
        <w:t xml:space="preserve">: </w:t>
      </w:r>
      <w:r w:rsidR="0039220C" w:rsidRPr="0039220C">
        <w:rPr>
          <w:b/>
          <w:color w:val="2E74B5" w:themeColor="accent1" w:themeShade="BF"/>
          <w:sz w:val="20"/>
          <w:szCs w:val="20"/>
          <w:u w:val="single"/>
        </w:rPr>
        <w:t>jesus.flores@inegi.org.mx</w:t>
      </w:r>
    </w:p>
    <w:p w14:paraId="492FB794" w14:textId="04FF235F" w:rsidR="00150172" w:rsidRPr="00567F11" w:rsidRDefault="0039220C" w:rsidP="003B0D99">
      <w:pPr>
        <w:pStyle w:val="NormalWeb"/>
        <w:spacing w:before="0" w:beforeAutospacing="0" w:after="0" w:afterAutospacing="0"/>
        <w:contextualSpacing/>
        <w:jc w:val="center"/>
        <w:rPr>
          <w:sz w:val="20"/>
          <w:szCs w:val="20"/>
        </w:rPr>
      </w:pPr>
      <w:r>
        <w:rPr>
          <w:sz w:val="20"/>
          <w:szCs w:val="20"/>
        </w:rPr>
        <w:t>o al teléfono: (777) 362 6702, Ext. 6702</w:t>
      </w:r>
      <w:r w:rsidR="00150172" w:rsidRPr="00D15DE0">
        <w:rPr>
          <w:sz w:val="20"/>
          <w:szCs w:val="20"/>
        </w:rPr>
        <w:t xml:space="preserve"> </w:t>
      </w:r>
    </w:p>
    <w:p w14:paraId="46A275F1" w14:textId="77777777" w:rsidR="00150172" w:rsidRPr="00567F11" w:rsidRDefault="00150172" w:rsidP="00150172">
      <w:pPr>
        <w:pStyle w:val="NormalWeb"/>
        <w:spacing w:before="0" w:beforeAutospacing="0" w:after="0" w:afterAutospacing="0"/>
        <w:contextualSpacing/>
        <w:jc w:val="center"/>
        <w:rPr>
          <w:sz w:val="20"/>
          <w:szCs w:val="20"/>
        </w:rPr>
      </w:pPr>
    </w:p>
    <w:p w14:paraId="7202A00C" w14:textId="5F3FD304" w:rsidR="003B0D99" w:rsidRDefault="0039220C" w:rsidP="00150172">
      <w:pPr>
        <w:contextualSpacing/>
        <w:jc w:val="center"/>
        <w:rPr>
          <w:rFonts w:ascii="Arial" w:hAnsi="Arial" w:cs="Arial"/>
          <w:lang w:val="es-MX"/>
        </w:rPr>
      </w:pPr>
      <w:r>
        <w:rPr>
          <w:rFonts w:ascii="Arial" w:hAnsi="Arial" w:cs="Arial"/>
          <w:lang w:val="es-MX"/>
        </w:rPr>
        <w:t xml:space="preserve">Dirección Regional Centro Sur </w:t>
      </w:r>
      <w:r w:rsidR="00150172" w:rsidRPr="00E44C8D">
        <w:rPr>
          <w:rFonts w:ascii="Arial" w:hAnsi="Arial" w:cs="Arial"/>
          <w:lang w:val="es-MX"/>
        </w:rPr>
        <w:t>/</w:t>
      </w:r>
      <w:r>
        <w:rPr>
          <w:rFonts w:ascii="Arial" w:hAnsi="Arial" w:cs="Arial"/>
          <w:lang w:val="es-MX"/>
        </w:rPr>
        <w:t xml:space="preserve"> Coordinación Estatal Morelos</w:t>
      </w:r>
    </w:p>
    <w:p w14:paraId="69C2EE5C" w14:textId="77777777" w:rsidR="003B0D99" w:rsidRDefault="003B0D99" w:rsidP="003B0D99">
      <w:pPr>
        <w:ind w:left="-425" w:right="-516"/>
        <w:contextualSpacing/>
        <w:jc w:val="center"/>
        <w:rPr>
          <w:noProof/>
          <w:lang w:eastAsia="es-MX"/>
        </w:rPr>
        <w:sectPr w:rsidR="003B0D99" w:rsidSect="003B0D99">
          <w:headerReference w:type="even" r:id="rId9"/>
          <w:headerReference w:type="default" r:id="rId10"/>
          <w:footerReference w:type="even" r:id="rId11"/>
          <w:footerReference w:type="default" r:id="rId12"/>
          <w:headerReference w:type="first" r:id="rId13"/>
          <w:footerReference w:type="first" r:id="rId14"/>
          <w:pgSz w:w="12240" w:h="15840"/>
          <w:pgMar w:top="1843" w:right="1020" w:bottom="426" w:left="1134" w:header="426" w:footer="589" w:gutter="0"/>
          <w:pgNumType w:start="1"/>
          <w:cols w:space="720"/>
        </w:sectPr>
      </w:pPr>
      <w:r w:rsidRPr="0084495B">
        <w:rPr>
          <w:noProof/>
          <w:lang w:val="es-MX" w:eastAsia="es-MX"/>
        </w:rPr>
        <w:drawing>
          <wp:inline distT="0" distB="0" distL="0" distR="0" wp14:anchorId="04BD21D8" wp14:editId="66C81E87">
            <wp:extent cx="255587" cy="266700"/>
            <wp:effectExtent l="0" t="0" r="0" b="0"/>
            <wp:docPr id="40" name="Imagen 40"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48" cy="269373"/>
                    </a:xfrm>
                    <a:prstGeom prst="rect">
                      <a:avLst/>
                    </a:prstGeom>
                    <a:noFill/>
                    <a:ln>
                      <a:noFill/>
                    </a:ln>
                  </pic:spPr>
                </pic:pic>
              </a:graphicData>
            </a:graphic>
          </wp:inline>
        </w:drawing>
      </w:r>
      <w:r w:rsidRPr="0084495B">
        <w:rPr>
          <w:noProof/>
          <w:lang w:eastAsia="es-MX"/>
        </w:rPr>
        <w:t xml:space="preserve"> </w:t>
      </w:r>
      <w:r w:rsidRPr="0084495B">
        <w:rPr>
          <w:noProof/>
          <w:lang w:val="es-MX" w:eastAsia="es-MX"/>
        </w:rPr>
        <w:drawing>
          <wp:inline distT="0" distB="0" distL="0" distR="0" wp14:anchorId="264810B0" wp14:editId="35B4FC24">
            <wp:extent cx="257175" cy="257175"/>
            <wp:effectExtent l="0" t="0" r="9525" b="9525"/>
            <wp:docPr id="41" name="Imagen 41"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4495B">
        <w:rPr>
          <w:noProof/>
          <w:lang w:eastAsia="es-MX"/>
        </w:rPr>
        <w:t xml:space="preserve"> </w:t>
      </w:r>
      <w:r w:rsidRPr="0084495B">
        <w:rPr>
          <w:noProof/>
          <w:lang w:val="es-MX" w:eastAsia="es-MX"/>
        </w:rPr>
        <w:drawing>
          <wp:inline distT="0" distB="0" distL="0" distR="0" wp14:anchorId="7B39C080" wp14:editId="719ADD04">
            <wp:extent cx="266700" cy="266700"/>
            <wp:effectExtent l="0" t="0" r="0" b="0"/>
            <wp:docPr id="42" name="Imagen 42"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84495B">
        <w:rPr>
          <w:noProof/>
          <w:lang w:eastAsia="es-MX"/>
        </w:rPr>
        <w:t xml:space="preserve"> </w:t>
      </w:r>
      <w:r w:rsidRPr="0084495B">
        <w:rPr>
          <w:noProof/>
          <w:lang w:val="es-MX" w:eastAsia="es-MX"/>
        </w:rPr>
        <w:drawing>
          <wp:inline distT="0" distB="0" distL="0" distR="0" wp14:anchorId="5D1DDFA8" wp14:editId="5E1A1DF3">
            <wp:extent cx="257175" cy="257175"/>
            <wp:effectExtent l="0" t="0" r="9525" b="9525"/>
            <wp:docPr id="44" name="Imagen 44" descr="C:\Users\saladeprensa\Desktop\NVOS LOGOS\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4495B">
        <w:rPr>
          <w:noProof/>
          <w:lang w:eastAsia="es-MX"/>
        </w:rPr>
        <w:t xml:space="preserve">  </w:t>
      </w:r>
      <w:r w:rsidRPr="0084495B">
        <w:rPr>
          <w:noProof/>
          <w:sz w:val="14"/>
          <w:szCs w:val="18"/>
          <w:lang w:val="es-MX" w:eastAsia="es-MX"/>
        </w:rPr>
        <w:drawing>
          <wp:inline distT="0" distB="0" distL="0" distR="0" wp14:anchorId="2AFBDF07" wp14:editId="1BA7CAAA">
            <wp:extent cx="2057400" cy="246888"/>
            <wp:effectExtent l="0" t="0" r="0" b="1270"/>
            <wp:docPr id="45" name="Imagen 4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7868" cy="248144"/>
                    </a:xfrm>
                    <a:prstGeom prst="rect">
                      <a:avLst/>
                    </a:prstGeom>
                    <a:noFill/>
                    <a:ln>
                      <a:noFill/>
                    </a:ln>
                  </pic:spPr>
                </pic:pic>
              </a:graphicData>
            </a:graphic>
          </wp:inline>
        </w:drawing>
      </w:r>
    </w:p>
    <w:p w14:paraId="763F1EF4" w14:textId="77777777" w:rsidR="004A6216" w:rsidRDefault="004A6216" w:rsidP="004A6216">
      <w:pPr>
        <w:pStyle w:val="Textoindependiente2"/>
        <w:spacing w:after="0" w:line="240" w:lineRule="auto"/>
        <w:jc w:val="center"/>
        <w:rPr>
          <w:rFonts w:ascii="Arial" w:hAnsi="Arial" w:cs="Arial"/>
          <w:b/>
          <w:snapToGrid/>
          <w:sz w:val="24"/>
          <w:szCs w:val="24"/>
          <w:lang w:val="es-ES" w:eastAsia="es-MX"/>
        </w:rPr>
      </w:pPr>
    </w:p>
    <w:p w14:paraId="6E93672E" w14:textId="77777777" w:rsidR="004A6216" w:rsidRDefault="004A6216" w:rsidP="004A6216">
      <w:pPr>
        <w:pStyle w:val="Textoindependiente2"/>
        <w:spacing w:after="0" w:line="240" w:lineRule="auto"/>
        <w:jc w:val="center"/>
        <w:rPr>
          <w:rFonts w:ascii="Arial" w:hAnsi="Arial" w:cs="Arial"/>
          <w:b/>
          <w:snapToGrid/>
          <w:sz w:val="24"/>
          <w:szCs w:val="24"/>
          <w:lang w:val="es-ES" w:eastAsia="es-MX"/>
        </w:rPr>
      </w:pPr>
      <w:r w:rsidRPr="004A6216">
        <w:rPr>
          <w:rFonts w:ascii="Arial" w:hAnsi="Arial" w:cs="Arial"/>
          <w:b/>
          <w:snapToGrid/>
          <w:sz w:val="24"/>
          <w:szCs w:val="24"/>
          <w:lang w:val="es-ES" w:eastAsia="es-MX"/>
        </w:rPr>
        <w:t>NOTA TÉCNICA</w:t>
      </w:r>
    </w:p>
    <w:p w14:paraId="27EA4952" w14:textId="77777777" w:rsidR="002E7F96" w:rsidRDefault="002E7F96" w:rsidP="004A6216">
      <w:pPr>
        <w:pStyle w:val="Textoindependiente2"/>
        <w:spacing w:after="0" w:line="240" w:lineRule="auto"/>
        <w:jc w:val="center"/>
        <w:rPr>
          <w:rFonts w:ascii="Arial" w:hAnsi="Arial" w:cs="Arial"/>
          <w:b/>
          <w:snapToGrid/>
          <w:sz w:val="24"/>
          <w:szCs w:val="24"/>
          <w:lang w:val="es-ES" w:eastAsia="es-MX"/>
        </w:rPr>
      </w:pPr>
    </w:p>
    <w:p w14:paraId="620BA122" w14:textId="77777777" w:rsidR="002E7F96" w:rsidRPr="00150172" w:rsidRDefault="002E7F96" w:rsidP="0050357F">
      <w:pPr>
        <w:pStyle w:val="Ttulo3"/>
        <w:ind w:right="-91"/>
        <w:rPr>
          <w:b/>
          <w:szCs w:val="24"/>
        </w:rPr>
      </w:pPr>
      <w:r w:rsidRPr="00150172">
        <w:rPr>
          <w:b/>
          <w:szCs w:val="24"/>
        </w:rPr>
        <w:t xml:space="preserve">INDICADOR TRIMESTRAL DE LA ACTIVIDAD ECONÓMICA ESTATAL (ITAEE), PARA </w:t>
      </w:r>
      <w:r w:rsidR="007C2633">
        <w:rPr>
          <w:b/>
          <w:szCs w:val="24"/>
        </w:rPr>
        <w:t>MORELOS</w:t>
      </w:r>
      <w:r w:rsidRPr="00150172">
        <w:rPr>
          <w:b/>
          <w:szCs w:val="24"/>
        </w:rPr>
        <w:t xml:space="preserve"> DURANTE EL </w:t>
      </w:r>
      <w:r w:rsidR="00261494">
        <w:rPr>
          <w:b/>
          <w:szCs w:val="24"/>
        </w:rPr>
        <w:t>PRIMER TRIMESTRE DE 2019</w:t>
      </w:r>
    </w:p>
    <w:p w14:paraId="73318717" w14:textId="77777777" w:rsidR="002E7F96" w:rsidRDefault="002E7F96" w:rsidP="004A6216">
      <w:pPr>
        <w:pStyle w:val="Textoindependiente2"/>
        <w:spacing w:after="0" w:line="240" w:lineRule="auto"/>
        <w:jc w:val="center"/>
        <w:rPr>
          <w:rFonts w:ascii="Arial" w:hAnsi="Arial" w:cs="Arial"/>
          <w:b/>
          <w:snapToGrid/>
          <w:sz w:val="24"/>
          <w:szCs w:val="24"/>
          <w:lang w:val="es-ES" w:eastAsia="es-MX"/>
        </w:rPr>
      </w:pPr>
    </w:p>
    <w:p w14:paraId="4E187338" w14:textId="77777777" w:rsidR="004A6216" w:rsidRPr="004A6216" w:rsidRDefault="004A6216" w:rsidP="004A6216">
      <w:pPr>
        <w:pStyle w:val="Textoindependiente2"/>
        <w:spacing w:after="0" w:line="240" w:lineRule="auto"/>
        <w:jc w:val="center"/>
        <w:rPr>
          <w:rFonts w:ascii="Arial" w:hAnsi="Arial" w:cs="Arial"/>
          <w:b/>
          <w:snapToGrid/>
          <w:sz w:val="24"/>
          <w:szCs w:val="24"/>
          <w:lang w:val="es-ES" w:eastAsia="es-MX"/>
        </w:rPr>
      </w:pPr>
    </w:p>
    <w:p w14:paraId="1B08FA8C" w14:textId="77777777" w:rsidR="004A6216" w:rsidRDefault="004A6216" w:rsidP="004A6216">
      <w:pPr>
        <w:pStyle w:val="Textoindependiente2"/>
        <w:spacing w:after="0" w:line="240" w:lineRule="auto"/>
        <w:jc w:val="both"/>
        <w:rPr>
          <w:rFonts w:ascii="Arial" w:hAnsi="Arial" w:cs="Arial"/>
          <w:snapToGrid/>
          <w:sz w:val="24"/>
          <w:szCs w:val="24"/>
          <w:lang w:val="es-ES" w:eastAsia="es-MX"/>
        </w:rPr>
      </w:pPr>
      <w:r w:rsidRPr="00DE6C8F">
        <w:rPr>
          <w:rFonts w:ascii="Arial" w:hAnsi="Arial" w:cs="Arial"/>
          <w:snapToGrid/>
          <w:sz w:val="24"/>
          <w:szCs w:val="24"/>
          <w:lang w:val="es-ES" w:eastAsia="es-MX"/>
        </w:rPr>
        <w:t>El Instituto Nacional de Estadística y Geografía informa los resultados de</w:t>
      </w:r>
      <w:r>
        <w:rPr>
          <w:rFonts w:ascii="Arial" w:hAnsi="Arial" w:cs="Arial"/>
          <w:snapToGrid/>
          <w:sz w:val="24"/>
          <w:szCs w:val="24"/>
          <w:lang w:val="es-ES" w:eastAsia="es-MX"/>
        </w:rPr>
        <w:t>l</w:t>
      </w:r>
      <w:r w:rsidRPr="00DE6C8F">
        <w:rPr>
          <w:rFonts w:ascii="Arial" w:hAnsi="Arial" w:cs="Arial"/>
          <w:snapToGrid/>
          <w:sz w:val="24"/>
          <w:szCs w:val="24"/>
          <w:lang w:val="es-ES" w:eastAsia="es-MX"/>
        </w:rPr>
        <w:t xml:space="preserve"> </w:t>
      </w:r>
      <w:r>
        <w:rPr>
          <w:rFonts w:ascii="Arial" w:hAnsi="Arial" w:cs="Arial"/>
          <w:snapToGrid/>
          <w:sz w:val="24"/>
          <w:szCs w:val="24"/>
          <w:lang w:val="es-ES" w:eastAsia="es-MX"/>
        </w:rPr>
        <w:t xml:space="preserve">Indicador Trimestral de la Actividad Económica Estatal (ITAEE), correspondientes a </w:t>
      </w:r>
      <w:r w:rsidR="007C2633">
        <w:rPr>
          <w:rFonts w:ascii="Arial" w:hAnsi="Arial" w:cs="Arial"/>
          <w:snapToGrid/>
          <w:sz w:val="24"/>
          <w:szCs w:val="24"/>
          <w:lang w:val="es-ES" w:eastAsia="es-MX"/>
        </w:rPr>
        <w:t>Morelos</w:t>
      </w:r>
      <w:r>
        <w:rPr>
          <w:rFonts w:ascii="Arial" w:hAnsi="Arial" w:cs="Arial"/>
          <w:snapToGrid/>
          <w:sz w:val="24"/>
          <w:szCs w:val="24"/>
          <w:lang w:val="es-ES" w:eastAsia="es-MX"/>
        </w:rPr>
        <w:t xml:space="preserve"> para el </w:t>
      </w:r>
      <w:r w:rsidR="00261494">
        <w:rPr>
          <w:rFonts w:ascii="Arial" w:hAnsi="Arial" w:cs="Arial"/>
          <w:snapToGrid/>
          <w:sz w:val="24"/>
          <w:szCs w:val="24"/>
          <w:lang w:val="es-ES" w:eastAsia="es-MX"/>
        </w:rPr>
        <w:t>primer trimestre de 2019</w:t>
      </w:r>
      <w:r>
        <w:rPr>
          <w:rFonts w:ascii="Arial" w:hAnsi="Arial" w:cs="Arial"/>
          <w:snapToGrid/>
          <w:sz w:val="24"/>
          <w:szCs w:val="24"/>
          <w:lang w:val="es-ES" w:eastAsia="es-MX"/>
        </w:rPr>
        <w:t xml:space="preserve"> con </w:t>
      </w:r>
      <w:r w:rsidRPr="00DE6C8F">
        <w:rPr>
          <w:rFonts w:ascii="Arial" w:hAnsi="Arial" w:cs="Arial"/>
          <w:snapToGrid/>
          <w:sz w:val="24"/>
          <w:szCs w:val="24"/>
          <w:lang w:val="es-ES" w:eastAsia="es-MX"/>
        </w:rPr>
        <w:t xml:space="preserve">respecto al </w:t>
      </w:r>
      <w:r>
        <w:rPr>
          <w:rFonts w:ascii="Arial" w:hAnsi="Arial" w:cs="Arial"/>
          <w:snapToGrid/>
          <w:sz w:val="24"/>
          <w:szCs w:val="24"/>
          <w:lang w:val="es-ES" w:eastAsia="es-MX"/>
        </w:rPr>
        <w:t>mismo periodo del año anterior.</w:t>
      </w:r>
    </w:p>
    <w:p w14:paraId="4280801C" w14:textId="77777777" w:rsidR="004A6216" w:rsidRDefault="004A6216" w:rsidP="004A6216">
      <w:pPr>
        <w:widowControl/>
        <w:ind w:right="51"/>
        <w:jc w:val="both"/>
        <w:rPr>
          <w:rFonts w:ascii="Arial" w:hAnsi="Arial" w:cs="Arial"/>
          <w:b/>
          <w:smallCaps/>
          <w:sz w:val="24"/>
          <w:szCs w:val="24"/>
          <w:lang w:val="es-MX"/>
        </w:rPr>
      </w:pPr>
    </w:p>
    <w:p w14:paraId="56BF954D" w14:textId="77777777" w:rsidR="004A6216" w:rsidRDefault="004A6216" w:rsidP="004A6216">
      <w:pPr>
        <w:widowControl/>
        <w:ind w:right="51"/>
        <w:jc w:val="both"/>
        <w:rPr>
          <w:rFonts w:ascii="Arial" w:hAnsi="Arial" w:cs="Arial"/>
          <w:b/>
          <w:smallCaps/>
          <w:sz w:val="24"/>
          <w:szCs w:val="24"/>
          <w:lang w:val="es-MX"/>
        </w:rPr>
      </w:pPr>
    </w:p>
    <w:p w14:paraId="0ECF90BB" w14:textId="77777777" w:rsidR="004A6216" w:rsidRDefault="004A6216" w:rsidP="004A6216">
      <w:pPr>
        <w:widowControl/>
        <w:ind w:right="51"/>
        <w:jc w:val="both"/>
        <w:rPr>
          <w:rFonts w:ascii="Arial" w:hAnsi="Arial" w:cs="Arial"/>
          <w:b/>
          <w:smallCaps/>
          <w:sz w:val="24"/>
          <w:szCs w:val="24"/>
          <w:lang w:val="es-MX"/>
        </w:rPr>
      </w:pPr>
      <w:r w:rsidRPr="00C12EBD">
        <w:rPr>
          <w:rFonts w:ascii="Arial" w:hAnsi="Arial" w:cs="Arial"/>
          <w:b/>
          <w:smallCaps/>
          <w:sz w:val="24"/>
          <w:szCs w:val="24"/>
          <w:lang w:val="es-MX"/>
        </w:rPr>
        <w:t>Principales Resultados</w:t>
      </w:r>
    </w:p>
    <w:p w14:paraId="4BEFFCAC" w14:textId="77777777" w:rsidR="004A6216" w:rsidRPr="00C12EBD" w:rsidRDefault="004A6216" w:rsidP="004A6216">
      <w:pPr>
        <w:widowControl/>
        <w:ind w:right="51"/>
        <w:jc w:val="both"/>
        <w:rPr>
          <w:rFonts w:ascii="Arial" w:hAnsi="Arial" w:cs="Arial"/>
          <w:b/>
          <w:smallCaps/>
          <w:sz w:val="24"/>
          <w:szCs w:val="24"/>
          <w:lang w:val="es-MX"/>
        </w:rPr>
      </w:pPr>
    </w:p>
    <w:p w14:paraId="50BD28CD" w14:textId="68A742F3" w:rsidR="004A6216" w:rsidRDefault="007C2633" w:rsidP="004A6216">
      <w:pPr>
        <w:jc w:val="both"/>
        <w:rPr>
          <w:rFonts w:ascii="Arial" w:hAnsi="Arial" w:cs="Arial"/>
          <w:snapToGrid/>
          <w:sz w:val="24"/>
          <w:szCs w:val="24"/>
          <w:lang w:val="es-ES" w:eastAsia="es-MX"/>
        </w:rPr>
      </w:pPr>
      <w:r>
        <w:rPr>
          <w:rFonts w:ascii="Arial" w:hAnsi="Arial" w:cs="Arial"/>
          <w:snapToGrid/>
          <w:sz w:val="24"/>
          <w:szCs w:val="24"/>
          <w:lang w:val="es-ES" w:eastAsia="es-MX"/>
        </w:rPr>
        <w:t>Morelos</w:t>
      </w:r>
      <w:r w:rsidR="00C40409">
        <w:rPr>
          <w:rFonts w:ascii="Arial" w:hAnsi="Arial" w:cs="Arial"/>
          <w:snapToGrid/>
          <w:sz w:val="24"/>
          <w:szCs w:val="24"/>
          <w:lang w:val="es-ES" w:eastAsia="es-MX"/>
        </w:rPr>
        <w:t xml:space="preserve"> mostró un</w:t>
      </w:r>
      <w:r w:rsidR="006C59B8">
        <w:rPr>
          <w:rFonts w:ascii="Arial" w:hAnsi="Arial" w:cs="Arial"/>
          <w:snapToGrid/>
          <w:sz w:val="24"/>
          <w:szCs w:val="24"/>
          <w:lang w:val="es-ES" w:eastAsia="es-MX"/>
        </w:rPr>
        <w:t xml:space="preserve"> aumento</w:t>
      </w:r>
      <w:r w:rsidR="00C40409">
        <w:rPr>
          <w:rFonts w:ascii="Arial" w:hAnsi="Arial" w:cs="Arial"/>
          <w:snapToGrid/>
          <w:sz w:val="24"/>
          <w:szCs w:val="24"/>
          <w:lang w:val="es-ES" w:eastAsia="es-MX"/>
        </w:rPr>
        <w:t xml:space="preserve"> </w:t>
      </w:r>
      <w:r w:rsidR="004A6216">
        <w:rPr>
          <w:rFonts w:ascii="Arial" w:hAnsi="Arial" w:cs="Arial"/>
          <w:snapToGrid/>
          <w:sz w:val="24"/>
          <w:szCs w:val="24"/>
          <w:lang w:val="es-ES" w:eastAsia="es-MX"/>
        </w:rPr>
        <w:t xml:space="preserve">anual de </w:t>
      </w:r>
      <w:r w:rsidR="006C59B8">
        <w:rPr>
          <w:rFonts w:ascii="Arial" w:hAnsi="Arial" w:cs="Arial"/>
          <w:snapToGrid/>
          <w:sz w:val="24"/>
          <w:szCs w:val="24"/>
          <w:lang w:val="es-ES" w:eastAsia="es-MX"/>
        </w:rPr>
        <w:t>0.7</w:t>
      </w:r>
      <w:r w:rsidR="004A6216">
        <w:rPr>
          <w:rFonts w:ascii="Arial" w:hAnsi="Arial" w:cs="Arial"/>
          <w:snapToGrid/>
          <w:sz w:val="24"/>
          <w:szCs w:val="24"/>
          <w:lang w:val="es-ES" w:eastAsia="es-MX"/>
        </w:rPr>
        <w:t xml:space="preserve">% durante el </w:t>
      </w:r>
      <w:r w:rsidR="00261494">
        <w:rPr>
          <w:rFonts w:ascii="Arial" w:hAnsi="Arial" w:cs="Arial"/>
          <w:snapToGrid/>
          <w:sz w:val="24"/>
          <w:szCs w:val="24"/>
          <w:lang w:val="es-ES" w:eastAsia="es-MX"/>
        </w:rPr>
        <w:t>primer trimestre de 2019</w:t>
      </w:r>
      <w:r w:rsidR="004A6216">
        <w:rPr>
          <w:rFonts w:ascii="Arial" w:hAnsi="Arial" w:cs="Arial"/>
          <w:snapToGrid/>
          <w:sz w:val="24"/>
          <w:szCs w:val="24"/>
          <w:lang w:val="es-ES" w:eastAsia="es-MX"/>
        </w:rPr>
        <w:t xml:space="preserve">, ocasionado por el comportamiento de las Actividades </w:t>
      </w:r>
      <w:r w:rsidR="006C59B8">
        <w:rPr>
          <w:rFonts w:ascii="Arial" w:hAnsi="Arial" w:cs="Arial"/>
          <w:snapToGrid/>
          <w:sz w:val="24"/>
          <w:szCs w:val="24"/>
          <w:lang w:val="es-ES" w:eastAsia="es-MX"/>
        </w:rPr>
        <w:t>Primarias</w:t>
      </w:r>
      <w:r w:rsidR="004A6216">
        <w:rPr>
          <w:rFonts w:ascii="Arial" w:hAnsi="Arial" w:cs="Arial"/>
          <w:snapToGrid/>
          <w:sz w:val="24"/>
          <w:szCs w:val="24"/>
          <w:lang w:val="es-ES" w:eastAsia="es-MX"/>
        </w:rPr>
        <w:t xml:space="preserve"> </w:t>
      </w:r>
      <w:r w:rsidR="00EE2C3E">
        <w:rPr>
          <w:rFonts w:ascii="Arial" w:hAnsi="Arial" w:cs="Arial"/>
          <w:snapToGrid/>
          <w:sz w:val="24"/>
          <w:szCs w:val="24"/>
          <w:lang w:val="es-ES" w:eastAsia="es-MX"/>
        </w:rPr>
        <w:t xml:space="preserve">y </w:t>
      </w:r>
      <w:r w:rsidR="006C59B8">
        <w:rPr>
          <w:rFonts w:ascii="Arial" w:hAnsi="Arial" w:cs="Arial"/>
          <w:snapToGrid/>
          <w:sz w:val="24"/>
          <w:szCs w:val="24"/>
          <w:lang w:val="es-ES" w:eastAsia="es-MX"/>
        </w:rPr>
        <w:t>Secundarias</w:t>
      </w:r>
      <w:r w:rsidR="00EE2C3E">
        <w:rPr>
          <w:rFonts w:ascii="Arial" w:hAnsi="Arial" w:cs="Arial"/>
          <w:snapToGrid/>
          <w:sz w:val="24"/>
          <w:szCs w:val="24"/>
          <w:lang w:val="es-ES" w:eastAsia="es-MX"/>
        </w:rPr>
        <w:t xml:space="preserve"> </w:t>
      </w:r>
      <w:r w:rsidR="004A6216">
        <w:rPr>
          <w:rFonts w:ascii="Arial" w:hAnsi="Arial" w:cs="Arial"/>
          <w:snapToGrid/>
          <w:sz w:val="24"/>
          <w:szCs w:val="24"/>
          <w:lang w:val="es-ES" w:eastAsia="es-MX"/>
        </w:rPr>
        <w:t xml:space="preserve">que </w:t>
      </w:r>
      <w:r w:rsidR="006C59B8">
        <w:rPr>
          <w:rFonts w:ascii="Arial" w:hAnsi="Arial" w:cs="Arial"/>
          <w:snapToGrid/>
          <w:sz w:val="24"/>
          <w:szCs w:val="24"/>
          <w:lang w:val="es-ES" w:eastAsia="es-MX"/>
        </w:rPr>
        <w:t>se incrementaron</w:t>
      </w:r>
      <w:r w:rsidR="004A6216">
        <w:rPr>
          <w:rFonts w:ascii="Arial" w:hAnsi="Arial" w:cs="Arial"/>
          <w:snapToGrid/>
          <w:sz w:val="24"/>
          <w:szCs w:val="24"/>
          <w:lang w:val="es-ES" w:eastAsia="es-MX"/>
        </w:rPr>
        <w:t xml:space="preserve"> </w:t>
      </w:r>
      <w:r w:rsidR="006C59B8">
        <w:rPr>
          <w:rFonts w:ascii="Arial" w:hAnsi="Arial" w:cs="Arial"/>
          <w:snapToGrid/>
          <w:sz w:val="24"/>
          <w:szCs w:val="24"/>
          <w:lang w:val="es-ES" w:eastAsia="es-MX"/>
        </w:rPr>
        <w:t>12.5 y 4.6</w:t>
      </w:r>
      <w:r w:rsidR="004A6216">
        <w:rPr>
          <w:rFonts w:ascii="Arial" w:hAnsi="Arial" w:cs="Arial"/>
          <w:snapToGrid/>
          <w:sz w:val="24"/>
          <w:szCs w:val="24"/>
          <w:lang w:val="es-ES" w:eastAsia="es-MX"/>
        </w:rPr>
        <w:t>%,</w:t>
      </w:r>
      <w:r w:rsidR="004A6216" w:rsidRPr="00655A40">
        <w:rPr>
          <w:rFonts w:ascii="Arial" w:hAnsi="Arial" w:cs="Arial"/>
          <w:snapToGrid/>
          <w:sz w:val="24"/>
          <w:szCs w:val="24"/>
          <w:lang w:val="es-ES" w:eastAsia="es-MX"/>
        </w:rPr>
        <w:t xml:space="preserve"> </w:t>
      </w:r>
      <w:r w:rsidR="004A6216">
        <w:rPr>
          <w:rFonts w:ascii="Arial" w:hAnsi="Arial" w:cs="Arial"/>
          <w:snapToGrid/>
          <w:sz w:val="24"/>
          <w:szCs w:val="24"/>
          <w:lang w:val="es-ES" w:eastAsia="es-MX"/>
        </w:rPr>
        <w:t>respectivamente</w:t>
      </w:r>
      <w:r w:rsidR="00C40409">
        <w:rPr>
          <w:rFonts w:ascii="Arial" w:hAnsi="Arial" w:cs="Arial"/>
          <w:snapToGrid/>
          <w:sz w:val="24"/>
          <w:szCs w:val="24"/>
          <w:lang w:val="es-ES" w:eastAsia="es-MX"/>
        </w:rPr>
        <w:t>; mientras que</w:t>
      </w:r>
      <w:r w:rsidR="00BD6AEB">
        <w:rPr>
          <w:rFonts w:ascii="Arial" w:hAnsi="Arial" w:cs="Arial"/>
          <w:snapToGrid/>
          <w:sz w:val="24"/>
          <w:szCs w:val="24"/>
          <w:lang w:val="es-ES" w:eastAsia="es-MX"/>
        </w:rPr>
        <w:t>,</w:t>
      </w:r>
      <w:r w:rsidR="00C40409">
        <w:rPr>
          <w:rFonts w:ascii="Arial" w:hAnsi="Arial" w:cs="Arial"/>
          <w:snapToGrid/>
          <w:sz w:val="24"/>
          <w:szCs w:val="24"/>
          <w:lang w:val="es-ES" w:eastAsia="es-MX"/>
        </w:rPr>
        <w:t xml:space="preserve"> las </w:t>
      </w:r>
      <w:r w:rsidR="00BE0B0A">
        <w:rPr>
          <w:rFonts w:ascii="Arial" w:hAnsi="Arial" w:cs="Arial"/>
          <w:snapToGrid/>
          <w:sz w:val="24"/>
          <w:szCs w:val="24"/>
          <w:lang w:val="es-ES" w:eastAsia="es-MX"/>
        </w:rPr>
        <w:t>Terciarias</w:t>
      </w:r>
      <w:r w:rsidR="00C40409">
        <w:rPr>
          <w:rFonts w:ascii="Arial" w:hAnsi="Arial" w:cs="Arial"/>
          <w:snapToGrid/>
          <w:sz w:val="24"/>
          <w:szCs w:val="24"/>
          <w:lang w:val="es-ES" w:eastAsia="es-MX"/>
        </w:rPr>
        <w:t xml:space="preserve"> </w:t>
      </w:r>
      <w:r w:rsidR="00BE0B0A">
        <w:rPr>
          <w:rFonts w:ascii="Arial" w:hAnsi="Arial" w:cs="Arial"/>
          <w:snapToGrid/>
          <w:sz w:val="24"/>
          <w:szCs w:val="24"/>
          <w:lang w:val="es-ES" w:eastAsia="es-MX"/>
        </w:rPr>
        <w:t>retrocedieron (-)1.7</w:t>
      </w:r>
      <w:r w:rsidR="00C40409">
        <w:rPr>
          <w:rFonts w:ascii="Arial" w:hAnsi="Arial" w:cs="Arial"/>
          <w:snapToGrid/>
          <w:sz w:val="24"/>
          <w:szCs w:val="24"/>
          <w:lang w:val="es-ES" w:eastAsia="es-MX"/>
        </w:rPr>
        <w:t xml:space="preserve"> por ciento.</w:t>
      </w:r>
    </w:p>
    <w:p w14:paraId="03D323E8" w14:textId="77777777" w:rsidR="004A6216" w:rsidRDefault="004A6216" w:rsidP="004A6216">
      <w:pPr>
        <w:jc w:val="both"/>
        <w:rPr>
          <w:rFonts w:ascii="Arial" w:hAnsi="Arial" w:cs="Arial"/>
          <w:snapToGrid/>
          <w:sz w:val="24"/>
          <w:szCs w:val="24"/>
          <w:lang w:val="es-ES" w:eastAsia="es-MX"/>
        </w:rPr>
      </w:pPr>
    </w:p>
    <w:p w14:paraId="5615302E" w14:textId="77777777" w:rsidR="004A6216" w:rsidRDefault="004A6216" w:rsidP="004A6216">
      <w:pPr>
        <w:jc w:val="center"/>
        <w:rPr>
          <w:rFonts w:ascii="Arial" w:hAnsi="Arial" w:cs="Arial"/>
          <w:b/>
          <w:snapToGrid/>
          <w:sz w:val="16"/>
          <w:szCs w:val="16"/>
          <w:lang w:val="es-ES" w:eastAsia="es-MX"/>
        </w:rPr>
      </w:pPr>
    </w:p>
    <w:p w14:paraId="05E637B2" w14:textId="77777777" w:rsidR="004A6216" w:rsidRPr="0042168D"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Gráfica </w:t>
      </w:r>
      <w:r>
        <w:rPr>
          <w:rFonts w:ascii="Arial" w:hAnsi="Arial" w:cs="Arial"/>
          <w:b/>
          <w:snapToGrid/>
          <w:sz w:val="16"/>
          <w:szCs w:val="16"/>
          <w:lang w:val="es-ES" w:eastAsia="es-MX"/>
        </w:rPr>
        <w:t>1</w:t>
      </w:r>
    </w:p>
    <w:p w14:paraId="6BF3591D"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71AEA93D" w14:textId="77777777" w:rsidR="008D551D" w:rsidRDefault="008D551D" w:rsidP="008D551D">
      <w:pPr>
        <w:jc w:val="center"/>
        <w:rPr>
          <w:rFonts w:ascii="Arial" w:hAnsi="Arial" w:cs="Arial"/>
          <w:b/>
          <w:bCs/>
          <w:snapToGrid/>
          <w:sz w:val="18"/>
          <w:szCs w:val="18"/>
          <w:lang w:val="es-ES" w:eastAsia="es-MX"/>
        </w:rPr>
      </w:pPr>
      <w:r>
        <w:rPr>
          <w:rFonts w:ascii="Arial" w:hAnsi="Arial" w:cs="Arial"/>
          <w:b/>
          <w:bCs/>
          <w:snapToGrid/>
          <w:sz w:val="22"/>
          <w:szCs w:val="22"/>
          <w:lang w:val="es-ES" w:eastAsia="es-MX"/>
        </w:rPr>
        <w:t>M</w:t>
      </w:r>
      <w:r w:rsidRPr="008D551D">
        <w:rPr>
          <w:rFonts w:ascii="Arial" w:hAnsi="Arial" w:cs="Arial"/>
          <w:b/>
          <w:bCs/>
          <w:snapToGrid/>
          <w:sz w:val="18"/>
          <w:szCs w:val="22"/>
          <w:lang w:val="es-ES" w:eastAsia="es-MX"/>
        </w:rPr>
        <w:t>ORELOS</w:t>
      </w:r>
    </w:p>
    <w:p w14:paraId="549F852A" w14:textId="77777777" w:rsidR="004A6216" w:rsidRDefault="008D551D" w:rsidP="008D551D">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 </w:t>
      </w:r>
      <w:r w:rsidR="004A6216" w:rsidRPr="0042168D">
        <w:rPr>
          <w:rFonts w:ascii="Arial" w:hAnsi="Arial" w:cs="Arial"/>
          <w:b/>
          <w:snapToGrid/>
          <w:sz w:val="16"/>
          <w:szCs w:val="16"/>
          <w:lang w:val="es-ES" w:eastAsia="es-MX"/>
        </w:rPr>
        <w:t xml:space="preserve">(Variación porcentual </w:t>
      </w:r>
      <w:r w:rsidR="004A6216">
        <w:rPr>
          <w:rFonts w:ascii="Arial" w:hAnsi="Arial" w:cs="Arial"/>
          <w:b/>
          <w:snapToGrid/>
          <w:sz w:val="16"/>
          <w:szCs w:val="16"/>
          <w:lang w:val="es-ES" w:eastAsia="es-MX"/>
        </w:rPr>
        <w:t>real con respecto</w:t>
      </w:r>
      <w:r w:rsidR="004A6216" w:rsidRPr="0042168D">
        <w:rPr>
          <w:rFonts w:ascii="Arial" w:hAnsi="Arial" w:cs="Arial"/>
          <w:b/>
          <w:snapToGrid/>
          <w:sz w:val="16"/>
          <w:szCs w:val="16"/>
          <w:lang w:val="es-ES" w:eastAsia="es-MX"/>
        </w:rPr>
        <w:t xml:space="preserve"> al mismo periodo del año anterior</w:t>
      </w:r>
      <w:r w:rsidR="004A6216">
        <w:rPr>
          <w:rFonts w:ascii="Arial" w:hAnsi="Arial" w:cs="Arial"/>
          <w:b/>
          <w:snapToGrid/>
          <w:sz w:val="16"/>
          <w:szCs w:val="16"/>
          <w:lang w:val="es-ES" w:eastAsia="es-MX"/>
        </w:rPr>
        <w:t>)</w:t>
      </w:r>
    </w:p>
    <w:p w14:paraId="06C48DC7" w14:textId="77777777" w:rsidR="004A6216" w:rsidRDefault="004A6216" w:rsidP="004A6216">
      <w:pPr>
        <w:jc w:val="center"/>
        <w:rPr>
          <w:rFonts w:ascii="Arial" w:hAnsi="Arial" w:cs="Arial"/>
          <w:b/>
          <w:bCs/>
          <w:snapToGrid/>
          <w:sz w:val="18"/>
          <w:szCs w:val="18"/>
          <w:lang w:val="es-ES" w:eastAsia="es-MX"/>
        </w:rPr>
      </w:pPr>
    </w:p>
    <w:tbl>
      <w:tblPr>
        <w:tblW w:w="0" w:type="auto"/>
        <w:tblBorders>
          <w:insideH w:val="single" w:sz="4" w:space="0" w:color="auto"/>
        </w:tblBorders>
        <w:tblLook w:val="04A0" w:firstRow="1" w:lastRow="0" w:firstColumn="1" w:lastColumn="0" w:noHBand="0" w:noVBand="1"/>
      </w:tblPr>
      <w:tblGrid>
        <w:gridCol w:w="4416"/>
        <w:gridCol w:w="4424"/>
      </w:tblGrid>
      <w:tr w:rsidR="004A6216" w14:paraId="0915122B" w14:textId="77777777" w:rsidTr="009A41CD">
        <w:tc>
          <w:tcPr>
            <w:tcW w:w="4416" w:type="dxa"/>
            <w:vAlign w:val="center"/>
          </w:tcPr>
          <w:p w14:paraId="3D7FC5E3" w14:textId="77777777" w:rsidR="004A6216" w:rsidRPr="00815078" w:rsidRDefault="004A6216" w:rsidP="009A41CD">
            <w:pPr>
              <w:ind w:right="-688"/>
              <w:jc w:val="center"/>
              <w:rPr>
                <w:rFonts w:ascii="Arial" w:hAnsi="Arial" w:cs="Arial"/>
                <w:snapToGrid/>
                <w:sz w:val="16"/>
                <w:szCs w:val="16"/>
                <w:lang w:val="es-ES" w:eastAsia="es-MX"/>
              </w:rPr>
            </w:pPr>
            <w:r w:rsidRPr="00815078">
              <w:rPr>
                <w:rFonts w:ascii="Arial" w:hAnsi="Arial" w:cs="Arial"/>
                <w:b/>
                <w:bCs/>
                <w:snapToGrid/>
                <w:sz w:val="16"/>
                <w:szCs w:val="16"/>
                <w:lang w:val="es-ES" w:eastAsia="es-MX"/>
              </w:rPr>
              <w:t>Total de la Economía</w:t>
            </w:r>
          </w:p>
        </w:tc>
        <w:tc>
          <w:tcPr>
            <w:tcW w:w="4424" w:type="dxa"/>
            <w:vAlign w:val="bottom"/>
          </w:tcPr>
          <w:p w14:paraId="69D770F3" w14:textId="77777777" w:rsidR="004A6216" w:rsidRPr="00815078" w:rsidRDefault="004A6216" w:rsidP="00B86B38">
            <w:pPr>
              <w:ind w:firstLine="613"/>
              <w:jc w:val="center"/>
              <w:rPr>
                <w:rFonts w:ascii="Arial" w:hAnsi="Arial" w:cs="Arial"/>
                <w:b/>
                <w:bCs/>
                <w:snapToGrid/>
                <w:sz w:val="16"/>
                <w:szCs w:val="16"/>
                <w:lang w:val="es-ES" w:eastAsia="es-MX"/>
              </w:rPr>
            </w:pPr>
            <w:r w:rsidRPr="00815078">
              <w:rPr>
                <w:rFonts w:ascii="Arial" w:hAnsi="Arial" w:cs="Arial"/>
                <w:b/>
                <w:bCs/>
                <w:snapToGrid/>
                <w:sz w:val="16"/>
                <w:szCs w:val="16"/>
                <w:lang w:val="es-ES" w:eastAsia="es-MX"/>
              </w:rPr>
              <w:t>Por Actividad Económica</w:t>
            </w:r>
          </w:p>
        </w:tc>
      </w:tr>
    </w:tbl>
    <w:p w14:paraId="0866A0B7" w14:textId="77777777" w:rsidR="004A6216" w:rsidRPr="00D22497" w:rsidRDefault="00AE5E9E" w:rsidP="004A6216">
      <w:pPr>
        <w:jc w:val="both"/>
        <w:rPr>
          <w:rFonts w:ascii="Arial" w:hAnsi="Arial" w:cs="Arial"/>
          <w:snapToGrid/>
          <w:sz w:val="24"/>
          <w:szCs w:val="24"/>
          <w:lang w:eastAsia="es-MX"/>
        </w:rPr>
      </w:pPr>
      <w:r w:rsidRPr="00AE5E9E">
        <w:rPr>
          <w:noProof/>
          <w:lang w:val="es-MX" w:eastAsia="es-MX"/>
        </w:rPr>
        <w:drawing>
          <wp:inline distT="0" distB="0" distL="0" distR="0" wp14:anchorId="0F169B4D" wp14:editId="71508DA5">
            <wp:extent cx="5720400" cy="2019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400" cy="2019600"/>
                    </a:xfrm>
                    <a:prstGeom prst="rect">
                      <a:avLst/>
                    </a:prstGeom>
                    <a:noFill/>
                    <a:ln>
                      <a:noFill/>
                    </a:ln>
                  </pic:spPr>
                </pic:pic>
              </a:graphicData>
            </a:graphic>
          </wp:inline>
        </w:drawing>
      </w:r>
    </w:p>
    <w:p w14:paraId="64303C95" w14:textId="77777777" w:rsidR="004A6216" w:rsidRDefault="004A6216" w:rsidP="004A6216">
      <w:pPr>
        <w:jc w:val="both"/>
        <w:rPr>
          <w:rFonts w:ascii="Arial" w:hAnsi="Arial" w:cs="Arial"/>
          <w:sz w:val="16"/>
          <w:szCs w:val="16"/>
          <w:lang w:val="es-ES" w:eastAsia="es-MX"/>
        </w:rPr>
      </w:pPr>
      <w:r>
        <w:rPr>
          <w:rFonts w:ascii="Arial" w:hAnsi="Arial" w:cs="Arial"/>
          <w:sz w:val="16"/>
          <w:szCs w:val="16"/>
          <w:lang w:val="es-ES" w:eastAsia="es-MX"/>
        </w:rPr>
        <w:t>r/ Cifras revisadas</w:t>
      </w:r>
    </w:p>
    <w:p w14:paraId="2991117F" w14:textId="77777777" w:rsidR="004A6216" w:rsidRDefault="004A6216" w:rsidP="004A6216">
      <w:pPr>
        <w:jc w:val="both"/>
        <w:rPr>
          <w:rFonts w:ascii="Arial" w:hAnsi="Arial" w:cs="Arial"/>
          <w:sz w:val="16"/>
          <w:szCs w:val="16"/>
          <w:lang w:val="es-ES" w:eastAsia="es-MX"/>
        </w:rPr>
      </w:pPr>
      <w:r>
        <w:rPr>
          <w:rFonts w:ascii="Arial" w:hAnsi="Arial" w:cs="Arial"/>
          <w:sz w:val="16"/>
          <w:szCs w:val="16"/>
          <w:lang w:val="es-ES" w:eastAsia="es-MX"/>
        </w:rPr>
        <w:t>p/ Cifras preliminares</w:t>
      </w:r>
    </w:p>
    <w:p w14:paraId="3D590828" w14:textId="77777777" w:rsidR="004A6216" w:rsidRDefault="004A6216" w:rsidP="004A6216">
      <w:pPr>
        <w:jc w:val="both"/>
        <w:rPr>
          <w:rFonts w:ascii="Arial" w:hAnsi="Arial" w:cs="Arial"/>
          <w:snapToGrid/>
          <w:sz w:val="16"/>
          <w:szCs w:val="16"/>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1B9ACA43" w14:textId="77777777" w:rsidR="004A6216" w:rsidRDefault="004A6216" w:rsidP="004A6216">
      <w:pPr>
        <w:jc w:val="both"/>
        <w:rPr>
          <w:rFonts w:ascii="Arial" w:hAnsi="Arial" w:cs="Arial"/>
          <w:snapToGrid/>
          <w:sz w:val="16"/>
          <w:szCs w:val="16"/>
          <w:lang w:val="es-ES" w:eastAsia="es-MX"/>
        </w:rPr>
      </w:pPr>
    </w:p>
    <w:p w14:paraId="1C4E3D1D" w14:textId="77777777" w:rsidR="004A6216" w:rsidRDefault="004A6216" w:rsidP="004A6216">
      <w:pPr>
        <w:widowControl/>
        <w:rPr>
          <w:rFonts w:ascii="Arial" w:hAnsi="Arial" w:cs="Arial"/>
          <w:sz w:val="24"/>
          <w:szCs w:val="24"/>
          <w:lang w:val="es-ES"/>
        </w:rPr>
      </w:pPr>
    </w:p>
    <w:p w14:paraId="008B5409" w14:textId="77777777" w:rsidR="00261494" w:rsidRDefault="00261494" w:rsidP="004A6216">
      <w:pPr>
        <w:widowControl/>
        <w:rPr>
          <w:rFonts w:ascii="Arial" w:hAnsi="Arial" w:cs="Arial"/>
          <w:sz w:val="24"/>
          <w:szCs w:val="24"/>
          <w:lang w:val="es-ES"/>
        </w:rPr>
      </w:pPr>
    </w:p>
    <w:p w14:paraId="7C239038" w14:textId="77777777" w:rsidR="00261494" w:rsidRDefault="00261494" w:rsidP="004A6216">
      <w:pPr>
        <w:widowControl/>
        <w:rPr>
          <w:rFonts w:ascii="Arial" w:hAnsi="Arial" w:cs="Arial"/>
          <w:sz w:val="24"/>
          <w:szCs w:val="24"/>
          <w:lang w:val="es-ES"/>
        </w:rPr>
      </w:pPr>
    </w:p>
    <w:p w14:paraId="7B60A1F6" w14:textId="77777777" w:rsidR="00261494" w:rsidRDefault="00261494" w:rsidP="004A6216">
      <w:pPr>
        <w:widowControl/>
        <w:rPr>
          <w:rFonts w:ascii="Arial" w:hAnsi="Arial" w:cs="Arial"/>
          <w:sz w:val="24"/>
          <w:szCs w:val="24"/>
          <w:lang w:val="es-ES"/>
        </w:rPr>
      </w:pPr>
    </w:p>
    <w:p w14:paraId="45325C38" w14:textId="77777777" w:rsidR="00261494" w:rsidRDefault="00261494" w:rsidP="004A6216">
      <w:pPr>
        <w:widowControl/>
        <w:rPr>
          <w:rFonts w:ascii="Arial" w:hAnsi="Arial" w:cs="Arial"/>
          <w:sz w:val="24"/>
          <w:szCs w:val="24"/>
          <w:lang w:val="es-ES"/>
        </w:rPr>
      </w:pPr>
    </w:p>
    <w:p w14:paraId="3808A1F1" w14:textId="77777777" w:rsidR="00261494" w:rsidRDefault="00261494" w:rsidP="004A6216">
      <w:pPr>
        <w:widowControl/>
        <w:rPr>
          <w:rFonts w:ascii="Arial" w:hAnsi="Arial" w:cs="Arial"/>
          <w:sz w:val="24"/>
          <w:szCs w:val="24"/>
          <w:lang w:val="es-ES"/>
        </w:rPr>
      </w:pPr>
    </w:p>
    <w:p w14:paraId="3E396CF9" w14:textId="77777777" w:rsidR="004A6216" w:rsidRDefault="004A6216" w:rsidP="004A6216">
      <w:pPr>
        <w:widowControl/>
        <w:rPr>
          <w:rFonts w:ascii="Arial" w:hAnsi="Arial" w:cs="Arial"/>
          <w:sz w:val="24"/>
          <w:szCs w:val="24"/>
          <w:lang w:val="es-ES"/>
        </w:rPr>
      </w:pPr>
    </w:p>
    <w:p w14:paraId="3C165ECE" w14:textId="77777777" w:rsidR="00C56217" w:rsidRDefault="00C56217" w:rsidP="004A6216">
      <w:pPr>
        <w:widowControl/>
        <w:rPr>
          <w:rFonts w:ascii="Arial" w:hAnsi="Arial" w:cs="Arial"/>
          <w:sz w:val="24"/>
          <w:szCs w:val="24"/>
          <w:lang w:val="es-ES"/>
        </w:rPr>
      </w:pPr>
    </w:p>
    <w:p w14:paraId="413FD037" w14:textId="77777777" w:rsidR="00C56217" w:rsidRDefault="00C56217" w:rsidP="004A6216">
      <w:pPr>
        <w:widowControl/>
        <w:rPr>
          <w:rFonts w:ascii="Arial" w:hAnsi="Arial" w:cs="Arial"/>
          <w:sz w:val="24"/>
          <w:szCs w:val="24"/>
          <w:lang w:val="es-ES"/>
        </w:rPr>
      </w:pPr>
    </w:p>
    <w:p w14:paraId="195D46D0" w14:textId="6D472431" w:rsidR="00FB29C6" w:rsidRDefault="00FB29C6" w:rsidP="00FB29C6">
      <w:pPr>
        <w:widowControl/>
        <w:jc w:val="center"/>
        <w:rPr>
          <w:rFonts w:ascii="Arial" w:hAnsi="Arial" w:cs="Arial"/>
          <w:sz w:val="24"/>
          <w:szCs w:val="24"/>
          <w:lang w:val="es-ES"/>
        </w:rPr>
      </w:pPr>
    </w:p>
    <w:p w14:paraId="5D44591F" w14:textId="77777777" w:rsidR="00F44577" w:rsidRDefault="00F44577" w:rsidP="00FB29C6">
      <w:pPr>
        <w:widowControl/>
        <w:jc w:val="center"/>
        <w:rPr>
          <w:rFonts w:ascii="Arial" w:hAnsi="Arial" w:cs="Arial"/>
          <w:sz w:val="24"/>
          <w:szCs w:val="24"/>
          <w:lang w:val="es-ES"/>
        </w:rPr>
      </w:pPr>
    </w:p>
    <w:p w14:paraId="2A7245D9" w14:textId="77777777" w:rsidR="004A6216" w:rsidRPr="0042168D" w:rsidRDefault="00C56217" w:rsidP="004A6216">
      <w:pPr>
        <w:jc w:val="center"/>
        <w:rPr>
          <w:rFonts w:ascii="Arial" w:hAnsi="Arial" w:cs="Arial"/>
          <w:b/>
          <w:snapToGrid/>
          <w:sz w:val="16"/>
          <w:szCs w:val="16"/>
          <w:lang w:val="es-ES" w:eastAsia="es-MX"/>
        </w:rPr>
      </w:pPr>
      <w:r>
        <w:rPr>
          <w:rFonts w:ascii="Arial" w:hAnsi="Arial" w:cs="Arial"/>
          <w:b/>
          <w:snapToGrid/>
          <w:sz w:val="16"/>
          <w:szCs w:val="16"/>
          <w:lang w:val="es-ES" w:eastAsia="es-MX"/>
        </w:rPr>
        <w:t>C</w:t>
      </w:r>
      <w:r w:rsidR="004A6216">
        <w:rPr>
          <w:rFonts w:ascii="Arial" w:hAnsi="Arial" w:cs="Arial"/>
          <w:b/>
          <w:snapToGrid/>
          <w:sz w:val="16"/>
          <w:szCs w:val="16"/>
          <w:lang w:val="es-ES" w:eastAsia="es-MX"/>
        </w:rPr>
        <w:t>uadro 1</w:t>
      </w:r>
    </w:p>
    <w:p w14:paraId="7CEE56B7"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5E81B638" w14:textId="77777777" w:rsidR="008D551D" w:rsidRDefault="008D551D" w:rsidP="008D551D">
      <w:pPr>
        <w:jc w:val="center"/>
        <w:rPr>
          <w:rFonts w:ascii="Arial" w:hAnsi="Arial" w:cs="Arial"/>
          <w:b/>
          <w:bCs/>
          <w:snapToGrid/>
          <w:sz w:val="18"/>
          <w:szCs w:val="18"/>
          <w:lang w:val="es-ES" w:eastAsia="es-MX"/>
        </w:rPr>
      </w:pPr>
      <w:r>
        <w:rPr>
          <w:rFonts w:ascii="Arial" w:hAnsi="Arial" w:cs="Arial"/>
          <w:b/>
          <w:bCs/>
          <w:snapToGrid/>
          <w:sz w:val="22"/>
          <w:szCs w:val="22"/>
          <w:lang w:val="es-ES" w:eastAsia="es-MX"/>
        </w:rPr>
        <w:t>M</w:t>
      </w:r>
      <w:r w:rsidRPr="008D551D">
        <w:rPr>
          <w:rFonts w:ascii="Arial" w:hAnsi="Arial" w:cs="Arial"/>
          <w:b/>
          <w:bCs/>
          <w:snapToGrid/>
          <w:sz w:val="18"/>
          <w:szCs w:val="22"/>
          <w:lang w:val="es-ES" w:eastAsia="es-MX"/>
        </w:rPr>
        <w:t>ORELOS</w:t>
      </w:r>
    </w:p>
    <w:p w14:paraId="31387968" w14:textId="77777777" w:rsidR="004A6216" w:rsidRDefault="004A6216" w:rsidP="004A6216">
      <w:pPr>
        <w:jc w:val="center"/>
        <w:rPr>
          <w:rFonts w:ascii="Arial" w:hAnsi="Arial" w:cs="Arial"/>
          <w:snapToGrid/>
          <w:sz w:val="24"/>
          <w:szCs w:val="24"/>
          <w:lang w:val="es-ES" w:eastAsia="es-MX"/>
        </w:rPr>
      </w:pPr>
      <w:r w:rsidRPr="0042168D">
        <w:rPr>
          <w:rFonts w:ascii="Arial" w:hAnsi="Arial" w:cs="Arial"/>
          <w:b/>
          <w:snapToGrid/>
          <w:sz w:val="16"/>
          <w:szCs w:val="16"/>
          <w:lang w:val="es-ES" w:eastAsia="es-MX"/>
        </w:rPr>
        <w:t xml:space="preserve"> (Variación porcentual </w:t>
      </w:r>
      <w:r>
        <w:rPr>
          <w:rFonts w:ascii="Arial" w:hAnsi="Arial" w:cs="Arial"/>
          <w:b/>
          <w:snapToGrid/>
          <w:sz w:val="16"/>
          <w:szCs w:val="16"/>
          <w:lang w:val="es-ES" w:eastAsia="es-MX"/>
        </w:rPr>
        <w:t>real con respecto</w:t>
      </w:r>
      <w:r w:rsidRPr="0042168D">
        <w:rPr>
          <w:rFonts w:ascii="Arial" w:hAnsi="Arial" w:cs="Arial"/>
          <w:b/>
          <w:snapToGrid/>
          <w:sz w:val="16"/>
          <w:szCs w:val="16"/>
          <w:lang w:val="es-ES" w:eastAsia="es-MX"/>
        </w:rPr>
        <w:t xml:space="preserve"> al mismo periodo del año anterior</w:t>
      </w:r>
      <w:r>
        <w:rPr>
          <w:rFonts w:ascii="Arial" w:hAnsi="Arial" w:cs="Arial"/>
          <w:b/>
          <w:snapToGrid/>
          <w:sz w:val="16"/>
          <w:szCs w:val="16"/>
          <w:lang w:val="es-ES" w:eastAsia="es-MX"/>
        </w:rPr>
        <w:t>)</w:t>
      </w:r>
      <w:r>
        <w:rPr>
          <w:rFonts w:ascii="Arial" w:hAnsi="Arial" w:cs="Arial"/>
          <w:snapToGrid/>
          <w:sz w:val="24"/>
          <w:szCs w:val="24"/>
          <w:lang w:val="es-ES" w:eastAsia="es-MX"/>
        </w:rPr>
        <w:t xml:space="preserve"> </w:t>
      </w:r>
    </w:p>
    <w:p w14:paraId="5E96564F" w14:textId="77777777" w:rsidR="004A6216" w:rsidRDefault="00AE5E9E" w:rsidP="004A6216">
      <w:pPr>
        <w:jc w:val="center"/>
        <w:rPr>
          <w:rFonts w:ascii="Arial" w:hAnsi="Arial" w:cs="Arial"/>
          <w:snapToGrid/>
          <w:sz w:val="24"/>
          <w:szCs w:val="24"/>
          <w:lang w:val="es-ES" w:eastAsia="es-MX"/>
        </w:rPr>
      </w:pPr>
      <w:r w:rsidRPr="00AE5E9E">
        <w:rPr>
          <w:noProof/>
          <w:lang w:val="es-MX" w:eastAsia="es-MX"/>
        </w:rPr>
        <w:drawing>
          <wp:inline distT="0" distB="0" distL="0" distR="0" wp14:anchorId="3A56E761" wp14:editId="32F75892">
            <wp:extent cx="5613400" cy="1753864"/>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400" cy="1753864"/>
                    </a:xfrm>
                    <a:prstGeom prst="rect">
                      <a:avLst/>
                    </a:prstGeom>
                    <a:noFill/>
                    <a:ln>
                      <a:noFill/>
                    </a:ln>
                  </pic:spPr>
                </pic:pic>
              </a:graphicData>
            </a:graphic>
          </wp:inline>
        </w:drawing>
      </w:r>
    </w:p>
    <w:p w14:paraId="4879F222" w14:textId="77777777" w:rsidR="004A6216" w:rsidRDefault="004A6216" w:rsidP="004A6216">
      <w:pPr>
        <w:tabs>
          <w:tab w:val="num" w:pos="1843"/>
          <w:tab w:val="left" w:pos="7939"/>
        </w:tabs>
        <w:ind w:right="51"/>
        <w:jc w:val="both"/>
        <w:rPr>
          <w:rFonts w:ascii="Arial" w:hAnsi="Arial" w:cs="Arial"/>
          <w:sz w:val="16"/>
          <w:szCs w:val="16"/>
          <w:lang w:val="es-ES" w:eastAsia="es-MX"/>
        </w:rPr>
      </w:pPr>
      <w:r>
        <w:rPr>
          <w:rFonts w:ascii="Arial" w:hAnsi="Arial" w:cs="Arial"/>
          <w:sz w:val="16"/>
          <w:szCs w:val="16"/>
          <w:lang w:val="es-ES" w:eastAsia="es-MX"/>
        </w:rPr>
        <w:t>r/ Cifras revisadas</w:t>
      </w:r>
    </w:p>
    <w:p w14:paraId="094AEF9A" w14:textId="77777777" w:rsidR="004A6216" w:rsidRDefault="004A6216" w:rsidP="004A6216">
      <w:pPr>
        <w:jc w:val="both"/>
        <w:rPr>
          <w:rFonts w:ascii="Arial" w:hAnsi="Arial" w:cs="Arial"/>
          <w:snapToGrid/>
          <w:sz w:val="16"/>
          <w:szCs w:val="16"/>
          <w:lang w:val="es-ES" w:eastAsia="es-MX"/>
        </w:rPr>
      </w:pPr>
      <w:r>
        <w:rPr>
          <w:rFonts w:ascii="Arial" w:hAnsi="Arial" w:cs="Arial"/>
          <w:sz w:val="16"/>
          <w:szCs w:val="16"/>
          <w:lang w:val="es-ES" w:eastAsia="es-MX"/>
        </w:rPr>
        <w:t>p/ Cifras preliminares</w:t>
      </w:r>
    </w:p>
    <w:p w14:paraId="1AD693FB" w14:textId="77777777" w:rsidR="004A6216" w:rsidRDefault="004A6216" w:rsidP="004A6216">
      <w:pPr>
        <w:jc w:val="both"/>
        <w:rPr>
          <w:rFonts w:ascii="Arial" w:hAnsi="Arial" w:cs="Arial"/>
          <w:snapToGrid/>
          <w:sz w:val="16"/>
          <w:szCs w:val="16"/>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34F7BE07" w14:textId="77777777" w:rsidR="004A6216" w:rsidRDefault="004A6216" w:rsidP="004A6216">
      <w:pPr>
        <w:jc w:val="both"/>
        <w:rPr>
          <w:rFonts w:ascii="Arial" w:hAnsi="Arial" w:cs="Arial"/>
          <w:snapToGrid/>
          <w:sz w:val="16"/>
          <w:szCs w:val="16"/>
          <w:lang w:val="es-ES" w:eastAsia="es-MX"/>
        </w:rPr>
      </w:pPr>
    </w:p>
    <w:p w14:paraId="1F41F513" w14:textId="77777777" w:rsidR="004A6216" w:rsidRDefault="004A6216" w:rsidP="004A6216">
      <w:pPr>
        <w:jc w:val="both"/>
        <w:rPr>
          <w:rFonts w:ascii="Arial" w:hAnsi="Arial" w:cs="Arial"/>
          <w:snapToGrid/>
          <w:sz w:val="24"/>
          <w:szCs w:val="24"/>
          <w:lang w:val="es-ES" w:eastAsia="es-MX"/>
        </w:rPr>
      </w:pPr>
    </w:p>
    <w:p w14:paraId="4063AE46" w14:textId="2D5CDDD7" w:rsidR="004A6216" w:rsidRDefault="004A6216" w:rsidP="004A6216">
      <w:pPr>
        <w:jc w:val="both"/>
        <w:rPr>
          <w:rFonts w:ascii="Arial" w:hAnsi="Arial" w:cs="Arial"/>
          <w:snapToGrid/>
          <w:sz w:val="24"/>
          <w:szCs w:val="24"/>
          <w:lang w:val="es-ES" w:eastAsia="es-MX"/>
        </w:rPr>
      </w:pPr>
      <w:r>
        <w:rPr>
          <w:rFonts w:ascii="Arial" w:hAnsi="Arial" w:cs="Arial"/>
          <w:snapToGrid/>
          <w:sz w:val="24"/>
          <w:szCs w:val="24"/>
          <w:lang w:val="es-ES" w:eastAsia="es-MX"/>
        </w:rPr>
        <w:t>Asimismo, en el trimestre de estudio, l</w:t>
      </w:r>
      <w:r w:rsidRPr="008B595F">
        <w:rPr>
          <w:rFonts w:ascii="Arial" w:hAnsi="Arial" w:cs="Arial"/>
          <w:snapToGrid/>
          <w:sz w:val="24"/>
          <w:szCs w:val="24"/>
          <w:lang w:val="es-ES" w:eastAsia="es-MX"/>
        </w:rPr>
        <w:t xml:space="preserve">as </w:t>
      </w:r>
      <w:r>
        <w:rPr>
          <w:rFonts w:ascii="Arial" w:hAnsi="Arial" w:cs="Arial"/>
          <w:snapToGrid/>
          <w:sz w:val="24"/>
          <w:szCs w:val="24"/>
          <w:lang w:val="es-ES" w:eastAsia="es-MX"/>
        </w:rPr>
        <w:t xml:space="preserve">Actividades </w:t>
      </w:r>
      <w:r w:rsidR="00F44577">
        <w:rPr>
          <w:rFonts w:ascii="Arial" w:hAnsi="Arial" w:cs="Arial"/>
          <w:snapToGrid/>
          <w:sz w:val="24"/>
          <w:szCs w:val="24"/>
          <w:lang w:val="es-ES" w:eastAsia="es-MX"/>
        </w:rPr>
        <w:t>Secundarias</w:t>
      </w:r>
      <w:r w:rsidR="00C40409">
        <w:rPr>
          <w:rFonts w:ascii="Arial" w:hAnsi="Arial" w:cs="Arial"/>
          <w:snapToGrid/>
          <w:sz w:val="24"/>
          <w:szCs w:val="24"/>
          <w:lang w:val="es-ES" w:eastAsia="es-MX"/>
        </w:rPr>
        <w:t xml:space="preserve">, </w:t>
      </w:r>
      <w:r>
        <w:rPr>
          <w:rFonts w:ascii="Arial" w:hAnsi="Arial" w:cs="Arial"/>
          <w:snapToGrid/>
          <w:sz w:val="24"/>
          <w:szCs w:val="24"/>
          <w:lang w:val="es-ES" w:eastAsia="es-MX"/>
        </w:rPr>
        <w:t xml:space="preserve">fueron </w:t>
      </w:r>
      <w:r w:rsidRPr="008B595F">
        <w:rPr>
          <w:rFonts w:ascii="Arial" w:hAnsi="Arial" w:cs="Arial"/>
          <w:snapToGrid/>
          <w:sz w:val="24"/>
          <w:szCs w:val="24"/>
          <w:lang w:val="es-ES" w:eastAsia="es-MX"/>
        </w:rPr>
        <w:t>las que tuvieron una mayor contribución</w:t>
      </w:r>
      <w:r>
        <w:rPr>
          <w:rFonts w:ascii="Arial" w:hAnsi="Arial" w:cs="Arial"/>
          <w:snapToGrid/>
          <w:sz w:val="24"/>
          <w:szCs w:val="24"/>
          <w:lang w:val="es-ES" w:eastAsia="es-MX"/>
        </w:rPr>
        <w:t xml:space="preserve"> en el comportamiento </w:t>
      </w:r>
      <w:r w:rsidR="00CD2311">
        <w:rPr>
          <w:rFonts w:ascii="Arial" w:hAnsi="Arial" w:cs="Arial"/>
          <w:snapToGrid/>
          <w:sz w:val="24"/>
          <w:szCs w:val="24"/>
          <w:lang w:val="es-ES" w:eastAsia="es-MX"/>
        </w:rPr>
        <w:t>de</w:t>
      </w:r>
      <w:r>
        <w:rPr>
          <w:rFonts w:ascii="Arial" w:hAnsi="Arial" w:cs="Arial"/>
          <w:snapToGrid/>
          <w:sz w:val="24"/>
          <w:szCs w:val="24"/>
          <w:lang w:val="es-ES" w:eastAsia="es-MX"/>
        </w:rPr>
        <w:t xml:space="preserve"> la economía del estado.</w:t>
      </w:r>
    </w:p>
    <w:p w14:paraId="4B217B23" w14:textId="77777777" w:rsidR="00B66A4D" w:rsidRDefault="00B66A4D" w:rsidP="004A6216">
      <w:pPr>
        <w:jc w:val="both"/>
        <w:rPr>
          <w:rFonts w:ascii="Arial" w:hAnsi="Arial" w:cs="Arial"/>
          <w:sz w:val="24"/>
          <w:szCs w:val="24"/>
          <w:lang w:val="es-ES" w:eastAsia="es-MX"/>
        </w:rPr>
      </w:pPr>
    </w:p>
    <w:p w14:paraId="5E7DC109" w14:textId="77777777" w:rsidR="00261494" w:rsidRDefault="00261494" w:rsidP="004A6216">
      <w:pPr>
        <w:jc w:val="both"/>
        <w:rPr>
          <w:rFonts w:ascii="Arial" w:hAnsi="Arial" w:cs="Arial"/>
          <w:snapToGrid/>
          <w:sz w:val="24"/>
          <w:szCs w:val="24"/>
          <w:lang w:val="es-ES" w:eastAsia="es-MX"/>
        </w:rPr>
      </w:pPr>
    </w:p>
    <w:p w14:paraId="19634F83" w14:textId="77777777" w:rsidR="004A6216" w:rsidRDefault="004A6216" w:rsidP="004A6216">
      <w:pPr>
        <w:jc w:val="center"/>
        <w:rPr>
          <w:rFonts w:ascii="Arial" w:hAnsi="Arial" w:cs="Arial"/>
          <w:b/>
          <w:snapToGrid/>
          <w:sz w:val="16"/>
          <w:szCs w:val="16"/>
          <w:lang w:val="es-ES" w:eastAsia="es-MX"/>
        </w:rPr>
      </w:pPr>
    </w:p>
    <w:p w14:paraId="11EE14E2" w14:textId="77777777" w:rsidR="004A6216" w:rsidRPr="0042168D" w:rsidRDefault="004A6216" w:rsidP="004A6216">
      <w:pPr>
        <w:jc w:val="center"/>
        <w:rPr>
          <w:rFonts w:ascii="Arial" w:hAnsi="Arial" w:cs="Arial"/>
          <w:b/>
          <w:snapToGrid/>
          <w:sz w:val="16"/>
          <w:szCs w:val="16"/>
          <w:lang w:val="es-ES" w:eastAsia="es-MX"/>
        </w:rPr>
      </w:pPr>
      <w:r>
        <w:rPr>
          <w:rFonts w:ascii="Arial" w:hAnsi="Arial" w:cs="Arial"/>
          <w:b/>
          <w:snapToGrid/>
          <w:sz w:val="16"/>
          <w:szCs w:val="16"/>
          <w:lang w:val="es-ES" w:eastAsia="es-MX"/>
        </w:rPr>
        <w:t>Cuadro 2</w:t>
      </w:r>
    </w:p>
    <w:p w14:paraId="75A3CFBB"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28652A87" w14:textId="77777777" w:rsidR="008D551D" w:rsidRDefault="008D551D" w:rsidP="008D551D">
      <w:pPr>
        <w:jc w:val="center"/>
        <w:rPr>
          <w:rFonts w:ascii="Arial" w:hAnsi="Arial" w:cs="Arial"/>
          <w:b/>
          <w:bCs/>
          <w:snapToGrid/>
          <w:sz w:val="18"/>
          <w:szCs w:val="18"/>
          <w:lang w:val="es-ES" w:eastAsia="es-MX"/>
        </w:rPr>
      </w:pPr>
      <w:r>
        <w:rPr>
          <w:rFonts w:ascii="Arial" w:hAnsi="Arial" w:cs="Arial"/>
          <w:b/>
          <w:bCs/>
          <w:snapToGrid/>
          <w:sz w:val="22"/>
          <w:szCs w:val="22"/>
          <w:lang w:val="es-ES" w:eastAsia="es-MX"/>
        </w:rPr>
        <w:t>M</w:t>
      </w:r>
      <w:r w:rsidRPr="008D551D">
        <w:rPr>
          <w:rFonts w:ascii="Arial" w:hAnsi="Arial" w:cs="Arial"/>
          <w:b/>
          <w:bCs/>
          <w:snapToGrid/>
          <w:sz w:val="18"/>
          <w:szCs w:val="22"/>
          <w:lang w:val="es-ES" w:eastAsia="es-MX"/>
        </w:rPr>
        <w:t>ORELOS</w:t>
      </w:r>
    </w:p>
    <w:p w14:paraId="4C1D3E9B" w14:textId="77777777" w:rsidR="004A6216" w:rsidRDefault="004A6216" w:rsidP="004A6216">
      <w:pPr>
        <w:jc w:val="center"/>
        <w:rPr>
          <w:szCs w:val="24"/>
        </w:rPr>
      </w:pPr>
      <w:r w:rsidRPr="009E5300">
        <w:rPr>
          <w:rFonts w:ascii="Arial" w:hAnsi="Arial" w:cs="Arial"/>
          <w:b/>
          <w:snapToGrid/>
          <w:sz w:val="16"/>
          <w:szCs w:val="16"/>
          <w:lang w:val="es-ES" w:eastAsia="es-MX"/>
        </w:rPr>
        <w:t xml:space="preserve"> (Contribución porcentual</w:t>
      </w:r>
      <w:r>
        <w:rPr>
          <w:rFonts w:ascii="Arial" w:hAnsi="Arial" w:cs="Arial"/>
          <w:b/>
          <w:snapToGrid/>
          <w:sz w:val="16"/>
          <w:szCs w:val="16"/>
          <w:lang w:val="es-ES" w:eastAsia="es-MX"/>
        </w:rPr>
        <w:t xml:space="preserve"> al crecimiento real</w:t>
      </w:r>
      <w:r w:rsidRPr="009E5300">
        <w:rPr>
          <w:rFonts w:ascii="Arial" w:hAnsi="Arial" w:cs="Arial"/>
          <w:b/>
          <w:snapToGrid/>
          <w:sz w:val="16"/>
          <w:szCs w:val="16"/>
          <w:lang w:val="es-ES" w:eastAsia="es-MX"/>
        </w:rPr>
        <w:t>)</w:t>
      </w:r>
      <w:r>
        <w:rPr>
          <w:szCs w:val="24"/>
        </w:rPr>
        <w:t xml:space="preserve"> </w:t>
      </w:r>
    </w:p>
    <w:p w14:paraId="18F797AD" w14:textId="77777777" w:rsidR="004A6216" w:rsidRPr="00D22497" w:rsidRDefault="00AE5E9E" w:rsidP="004A6216">
      <w:pPr>
        <w:jc w:val="center"/>
        <w:rPr>
          <w:szCs w:val="24"/>
        </w:rPr>
      </w:pPr>
      <w:r w:rsidRPr="00AE5E9E">
        <w:rPr>
          <w:noProof/>
          <w:lang w:val="es-MX" w:eastAsia="es-MX"/>
        </w:rPr>
        <w:drawing>
          <wp:inline distT="0" distB="0" distL="0" distR="0" wp14:anchorId="560D94D5" wp14:editId="62138745">
            <wp:extent cx="5613400" cy="1753864"/>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1753864"/>
                    </a:xfrm>
                    <a:prstGeom prst="rect">
                      <a:avLst/>
                    </a:prstGeom>
                    <a:noFill/>
                    <a:ln>
                      <a:noFill/>
                    </a:ln>
                  </pic:spPr>
                </pic:pic>
              </a:graphicData>
            </a:graphic>
          </wp:inline>
        </w:drawing>
      </w:r>
    </w:p>
    <w:p w14:paraId="6D8299BE" w14:textId="77777777" w:rsidR="004A6216" w:rsidRDefault="004A6216" w:rsidP="004A6216">
      <w:pPr>
        <w:tabs>
          <w:tab w:val="num" w:pos="1843"/>
          <w:tab w:val="left" w:pos="7939"/>
        </w:tabs>
        <w:ind w:right="51"/>
        <w:jc w:val="both"/>
        <w:rPr>
          <w:rFonts w:ascii="Arial" w:hAnsi="Arial" w:cs="Arial"/>
          <w:sz w:val="16"/>
          <w:szCs w:val="16"/>
          <w:lang w:val="es-ES" w:eastAsia="es-MX"/>
        </w:rPr>
      </w:pPr>
      <w:r w:rsidRPr="005E0212">
        <w:rPr>
          <w:rFonts w:ascii="Arial" w:hAnsi="Arial" w:cs="Arial"/>
          <w:sz w:val="16"/>
          <w:szCs w:val="16"/>
          <w:lang w:val="es-ES" w:eastAsia="es-MX"/>
        </w:rPr>
        <w:t>r/ Cifras revisadas</w:t>
      </w:r>
    </w:p>
    <w:p w14:paraId="4650FC51" w14:textId="77777777" w:rsidR="004A6216" w:rsidRDefault="004A6216" w:rsidP="004A6216">
      <w:pPr>
        <w:tabs>
          <w:tab w:val="num" w:pos="1843"/>
          <w:tab w:val="left" w:pos="7939"/>
        </w:tabs>
        <w:ind w:right="51"/>
        <w:jc w:val="both"/>
        <w:rPr>
          <w:rFonts w:ascii="Arial" w:hAnsi="Arial" w:cs="Arial"/>
          <w:sz w:val="16"/>
          <w:szCs w:val="16"/>
        </w:rPr>
      </w:pPr>
      <w:r>
        <w:rPr>
          <w:rFonts w:ascii="Arial" w:hAnsi="Arial" w:cs="Arial"/>
          <w:sz w:val="16"/>
          <w:szCs w:val="16"/>
          <w:lang w:val="es-ES" w:eastAsia="es-MX"/>
        </w:rPr>
        <w:t>p/ Cifras preliminares</w:t>
      </w:r>
    </w:p>
    <w:p w14:paraId="2BEC97A7" w14:textId="77777777" w:rsidR="004A6216" w:rsidRPr="003330D0" w:rsidRDefault="004A6216" w:rsidP="004A6216">
      <w:pPr>
        <w:tabs>
          <w:tab w:val="num" w:pos="1843"/>
          <w:tab w:val="left" w:pos="7939"/>
        </w:tabs>
        <w:ind w:right="51"/>
        <w:jc w:val="both"/>
        <w:rPr>
          <w:rFonts w:ascii="Arial" w:hAnsi="Arial" w:cs="Arial"/>
          <w:b/>
          <w:smallCaps/>
          <w:sz w:val="16"/>
          <w:szCs w:val="16"/>
        </w:rPr>
      </w:pPr>
      <w:r w:rsidRPr="003330D0">
        <w:rPr>
          <w:rFonts w:ascii="Arial" w:hAnsi="Arial" w:cs="Arial"/>
          <w:sz w:val="16"/>
          <w:szCs w:val="16"/>
        </w:rPr>
        <w:t>Nota: La suma de los parciales puede no coincidir con el total, debido al redondeo</w:t>
      </w:r>
    </w:p>
    <w:p w14:paraId="2E82AE8C" w14:textId="77777777" w:rsidR="004A6216" w:rsidRDefault="004A6216" w:rsidP="004A6216">
      <w:pPr>
        <w:tabs>
          <w:tab w:val="num" w:pos="1843"/>
          <w:tab w:val="left" w:pos="7939"/>
        </w:tabs>
        <w:ind w:right="51"/>
        <w:jc w:val="both"/>
        <w:rPr>
          <w:rFonts w:ascii="Arial" w:hAnsi="Arial" w:cs="Arial"/>
          <w:b/>
          <w:smallCaps/>
          <w:sz w:val="24"/>
          <w:szCs w:val="24"/>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r>
        <w:rPr>
          <w:rFonts w:ascii="Arial" w:hAnsi="Arial" w:cs="Arial"/>
          <w:b/>
          <w:smallCaps/>
          <w:sz w:val="24"/>
          <w:szCs w:val="24"/>
        </w:rPr>
        <w:br w:type="page"/>
      </w:r>
    </w:p>
    <w:p w14:paraId="666EF245" w14:textId="77777777" w:rsidR="00C56217" w:rsidRDefault="00C56217" w:rsidP="004A6216">
      <w:pPr>
        <w:widowControl/>
        <w:rPr>
          <w:rFonts w:ascii="Arial" w:hAnsi="Arial" w:cs="Arial"/>
          <w:b/>
          <w:smallCaps/>
          <w:sz w:val="24"/>
          <w:szCs w:val="24"/>
        </w:rPr>
      </w:pPr>
    </w:p>
    <w:p w14:paraId="495130DC" w14:textId="77777777" w:rsidR="004A6216" w:rsidRDefault="004A6216" w:rsidP="004A6216">
      <w:pPr>
        <w:widowControl/>
        <w:rPr>
          <w:rFonts w:ascii="Arial" w:hAnsi="Arial" w:cs="Arial"/>
          <w:b/>
          <w:smallCaps/>
          <w:sz w:val="24"/>
          <w:szCs w:val="24"/>
        </w:rPr>
      </w:pPr>
      <w:r w:rsidRPr="00FC14C9">
        <w:rPr>
          <w:rFonts w:ascii="Arial" w:hAnsi="Arial" w:cs="Arial"/>
          <w:b/>
          <w:smallCaps/>
          <w:sz w:val="24"/>
          <w:szCs w:val="24"/>
        </w:rPr>
        <w:t>Resultados por grupo</w:t>
      </w:r>
      <w:r>
        <w:rPr>
          <w:rFonts w:ascii="Arial" w:hAnsi="Arial" w:cs="Arial"/>
          <w:b/>
          <w:smallCaps/>
          <w:sz w:val="24"/>
          <w:szCs w:val="24"/>
        </w:rPr>
        <w:t>s</w:t>
      </w:r>
      <w:r w:rsidRPr="00FC14C9">
        <w:rPr>
          <w:rFonts w:ascii="Arial" w:hAnsi="Arial" w:cs="Arial"/>
          <w:b/>
          <w:smallCaps/>
          <w:sz w:val="24"/>
          <w:szCs w:val="24"/>
        </w:rPr>
        <w:t xml:space="preserve"> de actividades</w:t>
      </w:r>
    </w:p>
    <w:p w14:paraId="4ACC420F" w14:textId="77777777" w:rsidR="004A6216" w:rsidRPr="00825BB7" w:rsidRDefault="004A6216" w:rsidP="004A6216">
      <w:pPr>
        <w:tabs>
          <w:tab w:val="num" w:pos="1843"/>
          <w:tab w:val="left" w:pos="7939"/>
        </w:tabs>
        <w:spacing w:before="360"/>
        <w:ind w:right="51"/>
        <w:jc w:val="both"/>
        <w:rPr>
          <w:rFonts w:ascii="Arial" w:hAnsi="Arial" w:cs="Arial"/>
          <w:b/>
          <w:smallCaps/>
          <w:sz w:val="24"/>
          <w:szCs w:val="24"/>
        </w:rPr>
      </w:pPr>
      <w:r w:rsidRPr="00825BB7">
        <w:rPr>
          <w:rFonts w:ascii="Arial" w:hAnsi="Arial" w:cs="Arial"/>
          <w:b/>
          <w:smallCaps/>
          <w:sz w:val="24"/>
          <w:szCs w:val="24"/>
        </w:rPr>
        <w:t xml:space="preserve">Actividades Primarias </w:t>
      </w:r>
    </w:p>
    <w:p w14:paraId="190F26FF" w14:textId="77777777" w:rsidR="004A6216" w:rsidRDefault="004A6216" w:rsidP="004A6216">
      <w:pPr>
        <w:jc w:val="both"/>
        <w:rPr>
          <w:rFonts w:ascii="Arial" w:hAnsi="Arial" w:cs="Arial"/>
          <w:snapToGrid/>
          <w:sz w:val="24"/>
          <w:szCs w:val="24"/>
          <w:lang w:val="es-ES" w:eastAsia="es-MX"/>
        </w:rPr>
      </w:pPr>
    </w:p>
    <w:p w14:paraId="7557CD8A" w14:textId="1D307AF3" w:rsidR="004A6216" w:rsidRDefault="004A6216" w:rsidP="004A6216">
      <w:pPr>
        <w:jc w:val="both"/>
        <w:rPr>
          <w:rFonts w:ascii="Arial" w:hAnsi="Arial" w:cs="Arial"/>
          <w:snapToGrid/>
          <w:sz w:val="24"/>
          <w:szCs w:val="24"/>
          <w:lang w:eastAsia="es-MX"/>
        </w:rPr>
      </w:pPr>
      <w:r>
        <w:rPr>
          <w:rFonts w:ascii="Arial" w:hAnsi="Arial" w:cs="Arial"/>
          <w:snapToGrid/>
          <w:sz w:val="24"/>
          <w:szCs w:val="24"/>
          <w:lang w:val="es-ES" w:eastAsia="es-MX"/>
        </w:rPr>
        <w:t xml:space="preserve">Las </w:t>
      </w:r>
      <w:r w:rsidRPr="007165D7">
        <w:rPr>
          <w:rFonts w:ascii="Arial" w:hAnsi="Arial" w:cs="Arial"/>
          <w:snapToGrid/>
          <w:sz w:val="24"/>
          <w:szCs w:val="24"/>
          <w:lang w:val="es-ES" w:eastAsia="es-MX"/>
        </w:rPr>
        <w:t xml:space="preserve">Actividades Primarias que incluyen la </w:t>
      </w:r>
      <w:r w:rsidRPr="007165D7">
        <w:rPr>
          <w:rFonts w:ascii="Arial" w:hAnsi="Arial" w:cs="Arial"/>
          <w:snapToGrid/>
          <w:sz w:val="24"/>
          <w:szCs w:val="24"/>
          <w:lang w:eastAsia="es-MX"/>
        </w:rPr>
        <w:t xml:space="preserve">agricultura, </w:t>
      </w:r>
      <w:r>
        <w:rPr>
          <w:rFonts w:ascii="Arial" w:hAnsi="Arial" w:cs="Arial"/>
          <w:sz w:val="24"/>
          <w:szCs w:val="24"/>
          <w:lang w:eastAsia="es-MX"/>
        </w:rPr>
        <w:t>cría y explotación de animales</w:t>
      </w:r>
      <w:r w:rsidRPr="007165D7">
        <w:rPr>
          <w:rFonts w:ascii="Arial" w:hAnsi="Arial" w:cs="Arial"/>
          <w:snapToGrid/>
          <w:sz w:val="24"/>
          <w:szCs w:val="24"/>
          <w:lang w:eastAsia="es-MX"/>
        </w:rPr>
        <w:t xml:space="preserve">, aprovechamiento forestal, pesca y caza, </w:t>
      </w:r>
      <w:r>
        <w:rPr>
          <w:rFonts w:ascii="Arial" w:hAnsi="Arial" w:cs="Arial"/>
          <w:snapToGrid/>
          <w:sz w:val="24"/>
          <w:szCs w:val="24"/>
          <w:lang w:val="es-ES" w:eastAsia="es-MX"/>
        </w:rPr>
        <w:t xml:space="preserve">reportaron una variación </w:t>
      </w:r>
      <w:r w:rsidRPr="007165D7">
        <w:rPr>
          <w:rFonts w:ascii="Arial" w:hAnsi="Arial" w:cs="Arial"/>
          <w:snapToGrid/>
          <w:sz w:val="24"/>
          <w:szCs w:val="24"/>
          <w:lang w:val="es-ES" w:eastAsia="es-MX"/>
        </w:rPr>
        <w:t xml:space="preserve">anual de </w:t>
      </w:r>
      <w:r w:rsidR="00F44577">
        <w:rPr>
          <w:rFonts w:ascii="Arial" w:hAnsi="Arial" w:cs="Arial"/>
          <w:snapToGrid/>
          <w:sz w:val="24"/>
          <w:szCs w:val="24"/>
          <w:lang w:val="es-ES" w:eastAsia="es-MX"/>
        </w:rPr>
        <w:t>1</w:t>
      </w:r>
      <w:r w:rsidR="00C40409">
        <w:rPr>
          <w:rFonts w:ascii="Arial" w:hAnsi="Arial" w:cs="Arial"/>
          <w:snapToGrid/>
          <w:sz w:val="24"/>
          <w:szCs w:val="24"/>
          <w:lang w:val="es-ES" w:eastAsia="es-MX"/>
        </w:rPr>
        <w:t>2.</w:t>
      </w:r>
      <w:r w:rsidR="00F44577">
        <w:rPr>
          <w:rFonts w:ascii="Arial" w:hAnsi="Arial" w:cs="Arial"/>
          <w:snapToGrid/>
          <w:sz w:val="24"/>
          <w:szCs w:val="24"/>
          <w:lang w:val="es-ES" w:eastAsia="es-MX"/>
        </w:rPr>
        <w:t>5</w:t>
      </w:r>
      <w:r w:rsidRPr="007165D7">
        <w:rPr>
          <w:rFonts w:ascii="Arial" w:hAnsi="Arial" w:cs="Arial"/>
          <w:snapToGrid/>
          <w:sz w:val="24"/>
          <w:szCs w:val="24"/>
          <w:lang w:val="es-ES" w:eastAsia="es-MX"/>
        </w:rPr>
        <w:t xml:space="preserve">% en el </w:t>
      </w:r>
      <w:r w:rsidR="00261494">
        <w:rPr>
          <w:rFonts w:ascii="Arial" w:hAnsi="Arial" w:cs="Arial"/>
          <w:snapToGrid/>
          <w:sz w:val="24"/>
          <w:szCs w:val="24"/>
          <w:lang w:val="es-ES" w:eastAsia="es-MX"/>
        </w:rPr>
        <w:t>primer trimestre de 2019</w:t>
      </w:r>
      <w:r w:rsidRPr="007165D7">
        <w:rPr>
          <w:rFonts w:ascii="Arial" w:hAnsi="Arial" w:cs="Arial"/>
          <w:snapToGrid/>
          <w:sz w:val="24"/>
          <w:szCs w:val="24"/>
          <w:lang w:val="es-ES" w:eastAsia="es-MX"/>
        </w:rPr>
        <w:t xml:space="preserve">, </w:t>
      </w:r>
      <w:r>
        <w:rPr>
          <w:rFonts w:ascii="Arial" w:hAnsi="Arial" w:cs="Arial"/>
          <w:snapToGrid/>
          <w:sz w:val="24"/>
          <w:szCs w:val="24"/>
          <w:lang w:val="es-ES" w:eastAsia="es-MX"/>
        </w:rPr>
        <w:t>debido</w:t>
      </w:r>
      <w:r w:rsidR="009830E4">
        <w:rPr>
          <w:rFonts w:ascii="Arial" w:hAnsi="Arial" w:cs="Arial"/>
          <w:snapToGrid/>
          <w:sz w:val="24"/>
          <w:szCs w:val="24"/>
          <w:lang w:val="es-ES" w:eastAsia="es-MX"/>
        </w:rPr>
        <w:t>, en mayor medida,</w:t>
      </w:r>
      <w:r w:rsidRPr="007165D7">
        <w:rPr>
          <w:rFonts w:ascii="Arial" w:hAnsi="Arial" w:cs="Arial"/>
          <w:snapToGrid/>
          <w:sz w:val="24"/>
          <w:szCs w:val="24"/>
          <w:lang w:val="es-ES" w:eastAsia="es-MX"/>
        </w:rPr>
        <w:t xml:space="preserve"> </w:t>
      </w:r>
      <w:r w:rsidR="00232AE9">
        <w:rPr>
          <w:rFonts w:ascii="Arial" w:hAnsi="Arial" w:cs="Arial"/>
          <w:snapToGrid/>
          <w:sz w:val="24"/>
          <w:szCs w:val="24"/>
          <w:lang w:val="es-ES" w:eastAsia="es-MX"/>
        </w:rPr>
        <w:t xml:space="preserve">al comportamiento </w:t>
      </w:r>
      <w:r w:rsidR="00C40409">
        <w:rPr>
          <w:rFonts w:ascii="Arial" w:hAnsi="Arial" w:cs="Arial"/>
          <w:sz w:val="24"/>
          <w:szCs w:val="24"/>
          <w:lang w:eastAsia="es-MX"/>
        </w:rPr>
        <w:t>de la agricultura</w:t>
      </w:r>
      <w:r>
        <w:rPr>
          <w:rFonts w:ascii="Arial" w:hAnsi="Arial" w:cs="Arial"/>
          <w:snapToGrid/>
          <w:sz w:val="24"/>
          <w:szCs w:val="24"/>
          <w:lang w:eastAsia="es-MX"/>
        </w:rPr>
        <w:t xml:space="preserve">. Así, la entidad logró ubicarse </w:t>
      </w:r>
      <w:r w:rsidRPr="00A736E8">
        <w:rPr>
          <w:rFonts w:ascii="Arial" w:hAnsi="Arial" w:cs="Arial"/>
          <w:snapToGrid/>
          <w:sz w:val="24"/>
          <w:szCs w:val="24"/>
          <w:lang w:eastAsia="es-MX"/>
        </w:rPr>
        <w:t>en</w:t>
      </w:r>
      <w:r w:rsidR="001D31B4">
        <w:rPr>
          <w:rFonts w:ascii="Arial" w:hAnsi="Arial" w:cs="Arial"/>
          <w:snapToGrid/>
          <w:sz w:val="24"/>
          <w:szCs w:val="24"/>
          <w:lang w:eastAsia="es-MX"/>
        </w:rPr>
        <w:t xml:space="preserve"> </w:t>
      </w:r>
      <w:r w:rsidR="00F44577">
        <w:rPr>
          <w:rFonts w:ascii="Arial" w:hAnsi="Arial" w:cs="Arial"/>
          <w:snapToGrid/>
          <w:sz w:val="24"/>
          <w:szCs w:val="24"/>
          <w:lang w:eastAsia="es-MX"/>
        </w:rPr>
        <w:t>el quinto lugar</w:t>
      </w:r>
      <w:r w:rsidR="00C40409">
        <w:rPr>
          <w:rFonts w:ascii="Arial" w:hAnsi="Arial" w:cs="Arial"/>
          <w:snapToGrid/>
          <w:sz w:val="24"/>
          <w:szCs w:val="24"/>
          <w:lang w:eastAsia="es-MX"/>
        </w:rPr>
        <w:t xml:space="preserve"> </w:t>
      </w:r>
      <w:r>
        <w:rPr>
          <w:rFonts w:ascii="Arial" w:hAnsi="Arial" w:cs="Arial"/>
          <w:snapToGrid/>
          <w:sz w:val="24"/>
          <w:szCs w:val="24"/>
          <w:lang w:eastAsia="es-MX"/>
        </w:rPr>
        <w:t>a nivel nacional.</w:t>
      </w:r>
    </w:p>
    <w:p w14:paraId="44751D38" w14:textId="77777777" w:rsidR="004A6216" w:rsidRDefault="004A6216" w:rsidP="004A6216">
      <w:pPr>
        <w:jc w:val="both"/>
        <w:rPr>
          <w:rFonts w:ascii="Arial" w:hAnsi="Arial" w:cs="Arial"/>
          <w:snapToGrid/>
          <w:sz w:val="24"/>
          <w:szCs w:val="24"/>
          <w:lang w:val="es-ES" w:eastAsia="es-MX"/>
        </w:rPr>
      </w:pPr>
    </w:p>
    <w:p w14:paraId="5BEED15F" w14:textId="77777777" w:rsidR="004A6216" w:rsidRPr="0042168D"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Gráfica </w:t>
      </w:r>
      <w:r>
        <w:rPr>
          <w:rFonts w:ascii="Arial" w:hAnsi="Arial" w:cs="Arial"/>
          <w:b/>
          <w:snapToGrid/>
          <w:sz w:val="16"/>
          <w:szCs w:val="16"/>
          <w:lang w:val="es-ES" w:eastAsia="es-MX"/>
        </w:rPr>
        <w:t>2</w:t>
      </w:r>
    </w:p>
    <w:p w14:paraId="73E31628"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69D5E4E7" w14:textId="77777777" w:rsidR="008D551D" w:rsidRDefault="008D551D" w:rsidP="008D551D">
      <w:pPr>
        <w:jc w:val="center"/>
        <w:rPr>
          <w:rFonts w:ascii="Arial" w:hAnsi="Arial" w:cs="Arial"/>
          <w:b/>
          <w:bCs/>
          <w:snapToGrid/>
          <w:sz w:val="18"/>
          <w:szCs w:val="18"/>
          <w:lang w:val="es-ES" w:eastAsia="es-MX"/>
        </w:rPr>
      </w:pPr>
      <w:r>
        <w:rPr>
          <w:rFonts w:ascii="Arial" w:hAnsi="Arial" w:cs="Arial"/>
          <w:b/>
          <w:bCs/>
          <w:snapToGrid/>
          <w:sz w:val="22"/>
          <w:szCs w:val="22"/>
          <w:lang w:val="es-ES" w:eastAsia="es-MX"/>
        </w:rPr>
        <w:t>M</w:t>
      </w:r>
      <w:r w:rsidRPr="008D551D">
        <w:rPr>
          <w:rFonts w:ascii="Arial" w:hAnsi="Arial" w:cs="Arial"/>
          <w:b/>
          <w:bCs/>
          <w:snapToGrid/>
          <w:sz w:val="18"/>
          <w:szCs w:val="22"/>
          <w:lang w:val="es-ES" w:eastAsia="es-MX"/>
        </w:rPr>
        <w:t>ORELOS</w:t>
      </w:r>
    </w:p>
    <w:p w14:paraId="4DBB732B" w14:textId="77777777" w:rsidR="004A6216" w:rsidRPr="0042168D" w:rsidRDefault="004A6216" w:rsidP="004A6216">
      <w:pPr>
        <w:jc w:val="center"/>
        <w:rPr>
          <w:rFonts w:ascii="Arial" w:hAnsi="Arial" w:cs="Arial"/>
          <w:snapToGrid/>
          <w:sz w:val="18"/>
          <w:szCs w:val="18"/>
          <w:lang w:val="es-ES" w:eastAsia="es-MX"/>
        </w:rPr>
      </w:pPr>
      <w:r w:rsidRPr="00AF174B">
        <w:rPr>
          <w:rFonts w:ascii="Arial" w:hAnsi="Arial" w:cs="Arial"/>
          <w:b/>
          <w:bCs/>
          <w:snapToGrid/>
          <w:sz w:val="22"/>
          <w:szCs w:val="22"/>
          <w:lang w:val="es-ES" w:eastAsia="es-MX"/>
        </w:rPr>
        <w:t>A</w:t>
      </w:r>
      <w:r>
        <w:rPr>
          <w:rFonts w:ascii="Arial" w:hAnsi="Arial" w:cs="Arial"/>
          <w:b/>
          <w:bCs/>
          <w:snapToGrid/>
          <w:sz w:val="18"/>
          <w:szCs w:val="18"/>
          <w:lang w:val="es-ES" w:eastAsia="es-MX"/>
        </w:rPr>
        <w:t xml:space="preserve">CTIVIDADES </w:t>
      </w:r>
      <w:r w:rsidRPr="00AF174B">
        <w:rPr>
          <w:rFonts w:ascii="Arial" w:hAnsi="Arial" w:cs="Arial"/>
          <w:b/>
          <w:bCs/>
          <w:snapToGrid/>
          <w:sz w:val="22"/>
          <w:szCs w:val="22"/>
          <w:lang w:val="es-ES" w:eastAsia="es-MX"/>
        </w:rPr>
        <w:t>P</w:t>
      </w:r>
      <w:r>
        <w:rPr>
          <w:rFonts w:ascii="Arial" w:hAnsi="Arial" w:cs="Arial"/>
          <w:b/>
          <w:bCs/>
          <w:snapToGrid/>
          <w:sz w:val="18"/>
          <w:szCs w:val="18"/>
          <w:lang w:val="es-ES" w:eastAsia="es-MX"/>
        </w:rPr>
        <w:t>RIMARIAS</w:t>
      </w:r>
    </w:p>
    <w:p w14:paraId="2B3E1F20" w14:textId="77777777" w:rsidR="004A6216"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(Variación porcentual </w:t>
      </w:r>
      <w:r>
        <w:rPr>
          <w:rFonts w:ascii="Arial" w:hAnsi="Arial" w:cs="Arial"/>
          <w:b/>
          <w:snapToGrid/>
          <w:sz w:val="16"/>
          <w:szCs w:val="16"/>
          <w:lang w:val="es-ES" w:eastAsia="es-MX"/>
        </w:rPr>
        <w:t>real con respecto</w:t>
      </w:r>
      <w:r w:rsidRPr="0042168D">
        <w:rPr>
          <w:rFonts w:ascii="Arial" w:hAnsi="Arial" w:cs="Arial"/>
          <w:b/>
          <w:snapToGrid/>
          <w:sz w:val="16"/>
          <w:szCs w:val="16"/>
          <w:lang w:val="es-ES" w:eastAsia="es-MX"/>
        </w:rPr>
        <w:t xml:space="preserve"> al mismo periodo del año anterior</w:t>
      </w:r>
      <w:r>
        <w:rPr>
          <w:rFonts w:ascii="Arial" w:hAnsi="Arial" w:cs="Arial"/>
          <w:b/>
          <w:snapToGrid/>
          <w:sz w:val="16"/>
          <w:szCs w:val="16"/>
          <w:lang w:val="es-ES" w:eastAsia="es-MX"/>
        </w:rPr>
        <w:t>)</w:t>
      </w:r>
    </w:p>
    <w:p w14:paraId="093CD4B0" w14:textId="77777777" w:rsidR="004A6216" w:rsidRDefault="00AE5E9E" w:rsidP="004A6216">
      <w:pPr>
        <w:jc w:val="center"/>
        <w:rPr>
          <w:rFonts w:ascii="Arial" w:hAnsi="Arial" w:cs="Arial"/>
          <w:b/>
          <w:snapToGrid/>
          <w:sz w:val="16"/>
          <w:szCs w:val="16"/>
          <w:lang w:val="es-ES" w:eastAsia="es-MX"/>
        </w:rPr>
      </w:pPr>
      <w:r w:rsidRPr="00AE5E9E">
        <w:rPr>
          <w:noProof/>
          <w:lang w:val="es-MX" w:eastAsia="es-MX"/>
        </w:rPr>
        <w:lastRenderedPageBreak/>
        <w:drawing>
          <wp:inline distT="0" distB="0" distL="0" distR="0" wp14:anchorId="22393E61" wp14:editId="091AE0B0">
            <wp:extent cx="6220800" cy="421200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0800" cy="4212000"/>
                    </a:xfrm>
                    <a:prstGeom prst="rect">
                      <a:avLst/>
                    </a:prstGeom>
                    <a:noFill/>
                    <a:ln>
                      <a:noFill/>
                    </a:ln>
                  </pic:spPr>
                </pic:pic>
              </a:graphicData>
            </a:graphic>
          </wp:inline>
        </w:drawing>
      </w:r>
    </w:p>
    <w:p w14:paraId="7DB8110A" w14:textId="77777777" w:rsidR="004A6216" w:rsidRDefault="004A6216" w:rsidP="004A6216">
      <w:pPr>
        <w:jc w:val="both"/>
        <w:rPr>
          <w:rFonts w:ascii="Arial" w:hAnsi="Arial" w:cs="Arial"/>
          <w:sz w:val="16"/>
          <w:szCs w:val="16"/>
          <w:lang w:val="es-ES" w:eastAsia="es-MX"/>
        </w:rPr>
      </w:pPr>
      <w:r w:rsidRPr="005E0212">
        <w:rPr>
          <w:rFonts w:ascii="Arial" w:hAnsi="Arial" w:cs="Arial"/>
          <w:sz w:val="16"/>
          <w:szCs w:val="16"/>
          <w:lang w:val="es-ES" w:eastAsia="es-MX"/>
        </w:rPr>
        <w:t>r/ Cifras revisadas</w:t>
      </w:r>
    </w:p>
    <w:p w14:paraId="1972BA2D" w14:textId="77777777" w:rsidR="004A6216" w:rsidRDefault="004A6216" w:rsidP="004A6216">
      <w:pPr>
        <w:jc w:val="both"/>
        <w:rPr>
          <w:rFonts w:ascii="Arial" w:hAnsi="Arial" w:cs="Arial"/>
          <w:sz w:val="16"/>
          <w:szCs w:val="16"/>
          <w:lang w:val="es-ES" w:eastAsia="es-MX"/>
        </w:rPr>
      </w:pPr>
      <w:r>
        <w:rPr>
          <w:rFonts w:ascii="Arial" w:hAnsi="Arial" w:cs="Arial"/>
          <w:sz w:val="16"/>
          <w:szCs w:val="16"/>
          <w:lang w:val="es-ES" w:eastAsia="es-MX"/>
        </w:rPr>
        <w:t>p/ Cifras preliminares</w:t>
      </w:r>
    </w:p>
    <w:p w14:paraId="615D0878" w14:textId="77777777" w:rsidR="004A6216" w:rsidRDefault="004A6216" w:rsidP="004A6216">
      <w:pPr>
        <w:jc w:val="both"/>
        <w:rPr>
          <w:rFonts w:ascii="Arial" w:hAnsi="Arial" w:cs="Arial"/>
          <w:snapToGrid/>
          <w:sz w:val="16"/>
          <w:szCs w:val="16"/>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491ABF4E" w14:textId="77777777" w:rsidR="004A6216" w:rsidRDefault="004A6216" w:rsidP="004A6216">
      <w:pPr>
        <w:widowControl/>
        <w:rPr>
          <w:rFonts w:ascii="Arial" w:hAnsi="Arial" w:cs="Arial"/>
          <w:b/>
          <w:smallCaps/>
          <w:sz w:val="24"/>
          <w:szCs w:val="24"/>
        </w:rPr>
      </w:pPr>
    </w:p>
    <w:p w14:paraId="2229F9C4" w14:textId="77777777" w:rsidR="004A6216" w:rsidRDefault="004A6216" w:rsidP="004A6216">
      <w:pPr>
        <w:widowControl/>
        <w:rPr>
          <w:rFonts w:ascii="Arial" w:hAnsi="Arial" w:cs="Arial"/>
          <w:b/>
          <w:smallCaps/>
          <w:sz w:val="24"/>
          <w:szCs w:val="24"/>
        </w:rPr>
      </w:pPr>
      <w:r>
        <w:rPr>
          <w:rFonts w:ascii="Arial" w:hAnsi="Arial" w:cs="Arial"/>
          <w:b/>
          <w:smallCaps/>
          <w:sz w:val="24"/>
          <w:szCs w:val="24"/>
        </w:rPr>
        <w:br w:type="page"/>
      </w:r>
    </w:p>
    <w:p w14:paraId="3F5F934B" w14:textId="77777777" w:rsidR="004A6216" w:rsidRDefault="004A6216" w:rsidP="004A6216">
      <w:pPr>
        <w:widowControl/>
        <w:rPr>
          <w:rFonts w:ascii="Arial" w:hAnsi="Arial" w:cs="Arial"/>
          <w:b/>
          <w:smallCaps/>
          <w:sz w:val="24"/>
          <w:szCs w:val="24"/>
        </w:rPr>
      </w:pPr>
    </w:p>
    <w:p w14:paraId="50A27BD6" w14:textId="77777777" w:rsidR="004A6216" w:rsidRPr="00825BB7" w:rsidRDefault="004A6216" w:rsidP="004A6216">
      <w:pPr>
        <w:widowControl/>
        <w:rPr>
          <w:rFonts w:ascii="Arial" w:hAnsi="Arial" w:cs="Arial"/>
          <w:b/>
          <w:smallCaps/>
          <w:sz w:val="24"/>
          <w:szCs w:val="24"/>
        </w:rPr>
      </w:pPr>
      <w:r>
        <w:rPr>
          <w:rFonts w:ascii="Arial" w:hAnsi="Arial" w:cs="Arial"/>
          <w:b/>
          <w:smallCaps/>
          <w:sz w:val="24"/>
          <w:szCs w:val="24"/>
        </w:rPr>
        <w:t>Actividades Secundarias</w:t>
      </w:r>
      <w:r w:rsidRPr="00825BB7">
        <w:rPr>
          <w:rFonts w:ascii="Arial" w:hAnsi="Arial" w:cs="Arial"/>
          <w:b/>
          <w:smallCaps/>
          <w:sz w:val="24"/>
          <w:szCs w:val="24"/>
        </w:rPr>
        <w:t xml:space="preserve"> </w:t>
      </w:r>
    </w:p>
    <w:p w14:paraId="0475A78C" w14:textId="77777777" w:rsidR="004A6216" w:rsidRDefault="004A6216" w:rsidP="004A6216">
      <w:pPr>
        <w:jc w:val="both"/>
        <w:rPr>
          <w:rFonts w:ascii="Arial" w:hAnsi="Arial" w:cs="Arial"/>
          <w:snapToGrid/>
          <w:sz w:val="24"/>
          <w:szCs w:val="24"/>
          <w:lang w:val="es-ES" w:eastAsia="es-MX"/>
        </w:rPr>
      </w:pPr>
    </w:p>
    <w:p w14:paraId="30A9616E" w14:textId="266017C9" w:rsidR="004A6216" w:rsidRDefault="004A6216" w:rsidP="004A6216">
      <w:pPr>
        <w:autoSpaceDE w:val="0"/>
        <w:autoSpaceDN w:val="0"/>
        <w:adjustRightInd w:val="0"/>
        <w:jc w:val="both"/>
        <w:rPr>
          <w:rFonts w:ascii="Arial" w:hAnsi="Arial" w:cs="Arial"/>
          <w:snapToGrid/>
          <w:sz w:val="24"/>
          <w:szCs w:val="24"/>
          <w:lang w:eastAsia="es-MX"/>
        </w:rPr>
      </w:pPr>
      <w:r>
        <w:rPr>
          <w:rFonts w:ascii="Arial" w:hAnsi="Arial" w:cs="Arial"/>
          <w:snapToGrid/>
          <w:sz w:val="24"/>
          <w:szCs w:val="24"/>
          <w:lang w:val="es-ES" w:eastAsia="es-MX"/>
        </w:rPr>
        <w:t xml:space="preserve">Las Actividades Secundarias corresponden a los sectores dedicados a la industria de la minería, manufacturas, construcción y electricidad, que en su conjunto reflejaron un </w:t>
      </w:r>
      <w:r w:rsidR="00F44577">
        <w:rPr>
          <w:rFonts w:ascii="Arial" w:hAnsi="Arial" w:cs="Arial"/>
          <w:snapToGrid/>
          <w:sz w:val="24"/>
          <w:szCs w:val="24"/>
          <w:lang w:val="es-ES" w:eastAsia="es-MX"/>
        </w:rPr>
        <w:t>in</w:t>
      </w:r>
      <w:r>
        <w:rPr>
          <w:rFonts w:ascii="Arial" w:hAnsi="Arial" w:cs="Arial"/>
          <w:snapToGrid/>
          <w:sz w:val="24"/>
          <w:szCs w:val="24"/>
          <w:lang w:val="es-ES" w:eastAsia="es-MX"/>
        </w:rPr>
        <w:t xml:space="preserve">cremento a tasa anual de </w:t>
      </w:r>
      <w:r w:rsidR="00F44577">
        <w:rPr>
          <w:rFonts w:ascii="Arial" w:hAnsi="Arial" w:cs="Arial"/>
          <w:snapToGrid/>
          <w:sz w:val="24"/>
          <w:szCs w:val="24"/>
          <w:lang w:val="es-ES" w:eastAsia="es-MX"/>
        </w:rPr>
        <w:t>4.6</w:t>
      </w:r>
      <w:r>
        <w:rPr>
          <w:rFonts w:ascii="Arial" w:hAnsi="Arial" w:cs="Arial"/>
          <w:snapToGrid/>
          <w:sz w:val="24"/>
          <w:szCs w:val="24"/>
          <w:lang w:val="es-ES" w:eastAsia="es-MX"/>
        </w:rPr>
        <w:t xml:space="preserve">% en el </w:t>
      </w:r>
      <w:r w:rsidR="00261494">
        <w:rPr>
          <w:rFonts w:ascii="Arial" w:hAnsi="Arial" w:cs="Arial"/>
          <w:snapToGrid/>
          <w:sz w:val="24"/>
          <w:szCs w:val="24"/>
          <w:lang w:val="es-ES" w:eastAsia="es-MX"/>
        </w:rPr>
        <w:t>primer trimestre de 2019</w:t>
      </w:r>
      <w:r>
        <w:rPr>
          <w:rFonts w:ascii="Arial" w:hAnsi="Arial" w:cs="Arial"/>
          <w:snapToGrid/>
          <w:sz w:val="24"/>
          <w:szCs w:val="24"/>
          <w:lang w:val="es-ES" w:eastAsia="es-MX"/>
        </w:rPr>
        <w:t>, debido</w:t>
      </w:r>
      <w:r w:rsidR="00C40409">
        <w:rPr>
          <w:rFonts w:ascii="Arial" w:hAnsi="Arial" w:cs="Arial"/>
          <w:snapToGrid/>
          <w:sz w:val="24"/>
          <w:szCs w:val="24"/>
          <w:lang w:val="es-ES" w:eastAsia="es-MX"/>
        </w:rPr>
        <w:t>, sobre todo, a la</w:t>
      </w:r>
      <w:r w:rsidR="00753A58">
        <w:rPr>
          <w:rFonts w:ascii="Arial" w:hAnsi="Arial" w:cs="Arial"/>
          <w:snapToGrid/>
          <w:sz w:val="24"/>
          <w:szCs w:val="24"/>
          <w:lang w:val="es-ES" w:eastAsia="es-MX"/>
        </w:rPr>
        <w:t xml:space="preserve"> </w:t>
      </w:r>
      <w:r w:rsidR="00C40409" w:rsidRPr="00C40409">
        <w:rPr>
          <w:rFonts w:ascii="Arial" w:hAnsi="Arial" w:cs="Arial"/>
          <w:snapToGrid/>
          <w:sz w:val="24"/>
          <w:szCs w:val="24"/>
          <w:lang w:val="es-ES" w:eastAsia="es-MX"/>
        </w:rPr>
        <w:t xml:space="preserve">construcción y </w:t>
      </w:r>
      <w:r w:rsidR="00C40409">
        <w:rPr>
          <w:rFonts w:ascii="Arial" w:hAnsi="Arial" w:cs="Arial"/>
          <w:snapToGrid/>
          <w:sz w:val="24"/>
          <w:szCs w:val="24"/>
          <w:lang w:val="es-ES" w:eastAsia="es-MX"/>
        </w:rPr>
        <w:t xml:space="preserve">a la </w:t>
      </w:r>
      <w:r w:rsidR="00C40409" w:rsidRPr="00C40409">
        <w:rPr>
          <w:rFonts w:ascii="Arial" w:hAnsi="Arial" w:cs="Arial"/>
          <w:snapToGrid/>
          <w:sz w:val="24"/>
          <w:szCs w:val="24"/>
          <w:lang w:val="es-ES" w:eastAsia="es-MX"/>
        </w:rPr>
        <w:t>minería</w:t>
      </w:r>
      <w:r w:rsidR="0063761D">
        <w:rPr>
          <w:rFonts w:ascii="Arial" w:hAnsi="Arial" w:cs="Arial"/>
          <w:sz w:val="24"/>
          <w:szCs w:val="24"/>
        </w:rPr>
        <w:t>.</w:t>
      </w:r>
      <w:r>
        <w:rPr>
          <w:rFonts w:ascii="Arial" w:hAnsi="Arial" w:cs="Arial"/>
          <w:snapToGrid/>
          <w:sz w:val="24"/>
          <w:szCs w:val="24"/>
          <w:lang w:val="es-ES" w:eastAsia="es-MX"/>
        </w:rPr>
        <w:t xml:space="preserve"> </w:t>
      </w:r>
      <w:r>
        <w:rPr>
          <w:rFonts w:ascii="Arial" w:hAnsi="Arial" w:cs="Arial"/>
          <w:snapToGrid/>
          <w:sz w:val="24"/>
          <w:szCs w:val="24"/>
          <w:lang w:eastAsia="es-MX"/>
        </w:rPr>
        <w:t xml:space="preserve">Lo anterior, </w:t>
      </w:r>
      <w:r w:rsidR="00232AE9">
        <w:rPr>
          <w:rFonts w:ascii="Arial" w:hAnsi="Arial" w:cs="Arial"/>
          <w:snapToGrid/>
          <w:sz w:val="24"/>
          <w:szCs w:val="24"/>
          <w:lang w:eastAsia="es-MX"/>
        </w:rPr>
        <w:t xml:space="preserve">motivó </w:t>
      </w:r>
      <w:r>
        <w:rPr>
          <w:rFonts w:ascii="Arial" w:hAnsi="Arial" w:cs="Arial"/>
          <w:snapToGrid/>
          <w:sz w:val="24"/>
          <w:szCs w:val="24"/>
          <w:lang w:eastAsia="es-MX"/>
        </w:rPr>
        <w:t xml:space="preserve">que el estado </w:t>
      </w:r>
      <w:r w:rsidR="0063761D">
        <w:rPr>
          <w:rFonts w:ascii="Arial" w:hAnsi="Arial" w:cs="Arial"/>
          <w:snapToGrid/>
          <w:sz w:val="24"/>
          <w:szCs w:val="24"/>
          <w:lang w:eastAsia="es-MX"/>
        </w:rPr>
        <w:t xml:space="preserve">se situara, en este rubro, en </w:t>
      </w:r>
      <w:r w:rsidR="00F44577">
        <w:rPr>
          <w:rFonts w:ascii="Arial" w:hAnsi="Arial" w:cs="Arial"/>
          <w:snapToGrid/>
          <w:sz w:val="24"/>
          <w:szCs w:val="24"/>
          <w:lang w:eastAsia="es-MX"/>
        </w:rPr>
        <w:t>octavo lugar</w:t>
      </w:r>
      <w:r w:rsidR="00C40409">
        <w:rPr>
          <w:rFonts w:ascii="Arial" w:hAnsi="Arial" w:cs="Arial"/>
          <w:snapToGrid/>
          <w:sz w:val="24"/>
          <w:szCs w:val="24"/>
          <w:lang w:eastAsia="es-MX"/>
        </w:rPr>
        <w:t xml:space="preserve"> </w:t>
      </w:r>
      <w:r>
        <w:rPr>
          <w:rFonts w:ascii="Arial" w:hAnsi="Arial" w:cs="Arial"/>
          <w:snapToGrid/>
          <w:sz w:val="24"/>
          <w:szCs w:val="24"/>
          <w:lang w:eastAsia="es-MX"/>
        </w:rPr>
        <w:t>del total de las entidades.</w:t>
      </w:r>
    </w:p>
    <w:p w14:paraId="6D0B7BF2" w14:textId="77777777" w:rsidR="004A6216" w:rsidRDefault="004A6216" w:rsidP="004A6216">
      <w:pPr>
        <w:jc w:val="both"/>
        <w:rPr>
          <w:rFonts w:ascii="Arial" w:hAnsi="Arial" w:cs="Arial"/>
          <w:snapToGrid/>
          <w:sz w:val="24"/>
          <w:szCs w:val="24"/>
          <w:lang w:eastAsia="es-MX"/>
        </w:rPr>
      </w:pPr>
    </w:p>
    <w:p w14:paraId="6C9EDB96" w14:textId="77777777" w:rsidR="004A6216" w:rsidRPr="0042168D"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Gráfica </w:t>
      </w:r>
      <w:r>
        <w:rPr>
          <w:rFonts w:ascii="Arial" w:hAnsi="Arial" w:cs="Arial"/>
          <w:b/>
          <w:snapToGrid/>
          <w:sz w:val="16"/>
          <w:szCs w:val="16"/>
          <w:lang w:val="es-ES" w:eastAsia="es-MX"/>
        </w:rPr>
        <w:t>3</w:t>
      </w:r>
    </w:p>
    <w:p w14:paraId="255B0041"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2F2593B5" w14:textId="77777777" w:rsidR="008D551D" w:rsidRDefault="008D551D" w:rsidP="008D551D">
      <w:pPr>
        <w:jc w:val="center"/>
        <w:rPr>
          <w:rFonts w:ascii="Arial" w:hAnsi="Arial" w:cs="Arial"/>
          <w:b/>
          <w:bCs/>
          <w:snapToGrid/>
          <w:sz w:val="18"/>
          <w:szCs w:val="18"/>
          <w:lang w:val="es-ES" w:eastAsia="es-MX"/>
        </w:rPr>
      </w:pPr>
      <w:r>
        <w:rPr>
          <w:rFonts w:ascii="Arial" w:hAnsi="Arial" w:cs="Arial"/>
          <w:b/>
          <w:bCs/>
          <w:snapToGrid/>
          <w:sz w:val="22"/>
          <w:szCs w:val="22"/>
          <w:lang w:val="es-ES" w:eastAsia="es-MX"/>
        </w:rPr>
        <w:t>M</w:t>
      </w:r>
      <w:r w:rsidRPr="008D551D">
        <w:rPr>
          <w:rFonts w:ascii="Arial" w:hAnsi="Arial" w:cs="Arial"/>
          <w:b/>
          <w:bCs/>
          <w:snapToGrid/>
          <w:sz w:val="18"/>
          <w:szCs w:val="22"/>
          <w:lang w:val="es-ES" w:eastAsia="es-MX"/>
        </w:rPr>
        <w:t>ORELOS</w:t>
      </w:r>
    </w:p>
    <w:p w14:paraId="4FA05547" w14:textId="77777777" w:rsidR="004A6216" w:rsidRPr="0042168D" w:rsidRDefault="004A6216" w:rsidP="004A6216">
      <w:pPr>
        <w:jc w:val="center"/>
        <w:rPr>
          <w:rFonts w:ascii="Arial" w:hAnsi="Arial" w:cs="Arial"/>
          <w:snapToGrid/>
          <w:sz w:val="18"/>
          <w:szCs w:val="18"/>
          <w:lang w:val="es-ES" w:eastAsia="es-MX"/>
        </w:rPr>
      </w:pPr>
      <w:r>
        <w:rPr>
          <w:rFonts w:ascii="Arial" w:hAnsi="Arial" w:cs="Arial"/>
          <w:b/>
          <w:bCs/>
          <w:sz w:val="22"/>
          <w:szCs w:val="22"/>
          <w:lang w:val="es-ES" w:eastAsia="es-MX"/>
        </w:rPr>
        <w:t>A</w:t>
      </w:r>
      <w:r>
        <w:rPr>
          <w:rFonts w:ascii="Arial" w:hAnsi="Arial" w:cs="Arial"/>
          <w:b/>
          <w:bCs/>
          <w:sz w:val="18"/>
          <w:szCs w:val="18"/>
          <w:lang w:val="es-ES" w:eastAsia="es-MX"/>
        </w:rPr>
        <w:t>CTIVIDADES</w:t>
      </w:r>
      <w:r>
        <w:rPr>
          <w:rFonts w:ascii="Arial" w:hAnsi="Arial" w:cs="Arial"/>
          <w:b/>
          <w:bCs/>
          <w:sz w:val="22"/>
          <w:szCs w:val="22"/>
          <w:lang w:val="es-ES" w:eastAsia="es-MX"/>
        </w:rPr>
        <w:t xml:space="preserve"> S</w:t>
      </w:r>
      <w:r>
        <w:rPr>
          <w:rFonts w:ascii="Arial" w:hAnsi="Arial" w:cs="Arial"/>
          <w:b/>
          <w:bCs/>
          <w:sz w:val="18"/>
          <w:szCs w:val="18"/>
          <w:lang w:val="es-ES" w:eastAsia="es-MX"/>
        </w:rPr>
        <w:t>ECUNDARIAS</w:t>
      </w:r>
    </w:p>
    <w:p w14:paraId="54F46C6B" w14:textId="77777777" w:rsidR="004A6216"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(Variación porcentual </w:t>
      </w:r>
      <w:r>
        <w:rPr>
          <w:rFonts w:ascii="Arial" w:hAnsi="Arial" w:cs="Arial"/>
          <w:b/>
          <w:snapToGrid/>
          <w:sz w:val="16"/>
          <w:szCs w:val="16"/>
          <w:lang w:val="es-ES" w:eastAsia="es-MX"/>
        </w:rPr>
        <w:t>real con respecto</w:t>
      </w:r>
      <w:r w:rsidRPr="0042168D">
        <w:rPr>
          <w:rFonts w:ascii="Arial" w:hAnsi="Arial" w:cs="Arial"/>
          <w:b/>
          <w:snapToGrid/>
          <w:sz w:val="16"/>
          <w:szCs w:val="16"/>
          <w:lang w:val="es-ES" w:eastAsia="es-MX"/>
        </w:rPr>
        <w:t xml:space="preserve"> al mismo periodo del año anterior</w:t>
      </w:r>
      <w:r>
        <w:rPr>
          <w:rFonts w:ascii="Arial" w:hAnsi="Arial" w:cs="Arial"/>
          <w:b/>
          <w:snapToGrid/>
          <w:sz w:val="16"/>
          <w:szCs w:val="16"/>
          <w:lang w:val="es-ES" w:eastAsia="es-MX"/>
        </w:rPr>
        <w:t>)</w:t>
      </w:r>
    </w:p>
    <w:p w14:paraId="3FF026BA" w14:textId="77777777" w:rsidR="004A6216" w:rsidRDefault="00AE5E9E" w:rsidP="004A6216">
      <w:pPr>
        <w:jc w:val="center"/>
        <w:rPr>
          <w:rFonts w:ascii="Arial" w:hAnsi="Arial" w:cs="Arial"/>
          <w:b/>
          <w:snapToGrid/>
          <w:sz w:val="16"/>
          <w:szCs w:val="16"/>
          <w:lang w:val="es-ES" w:eastAsia="es-MX"/>
        </w:rPr>
      </w:pPr>
      <w:r w:rsidRPr="00AE5E9E">
        <w:rPr>
          <w:noProof/>
          <w:lang w:val="es-MX" w:eastAsia="es-MX"/>
        </w:rPr>
        <w:lastRenderedPageBreak/>
        <w:drawing>
          <wp:inline distT="0" distB="0" distL="0" distR="0" wp14:anchorId="672A846B" wp14:editId="6526FDD2">
            <wp:extent cx="6220800" cy="421200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0800" cy="4212000"/>
                    </a:xfrm>
                    <a:prstGeom prst="rect">
                      <a:avLst/>
                    </a:prstGeom>
                    <a:noFill/>
                    <a:ln>
                      <a:noFill/>
                    </a:ln>
                  </pic:spPr>
                </pic:pic>
              </a:graphicData>
            </a:graphic>
          </wp:inline>
        </w:drawing>
      </w:r>
    </w:p>
    <w:p w14:paraId="7B0A8FF3" w14:textId="77777777" w:rsidR="004A6216" w:rsidRDefault="004A6216" w:rsidP="004A6216">
      <w:pPr>
        <w:jc w:val="both"/>
        <w:rPr>
          <w:rFonts w:ascii="Arial" w:hAnsi="Arial" w:cs="Arial"/>
          <w:sz w:val="16"/>
          <w:szCs w:val="16"/>
          <w:lang w:val="es-ES" w:eastAsia="es-MX"/>
        </w:rPr>
      </w:pPr>
      <w:r w:rsidRPr="005E0212">
        <w:rPr>
          <w:rFonts w:ascii="Arial" w:hAnsi="Arial" w:cs="Arial"/>
          <w:sz w:val="16"/>
          <w:szCs w:val="16"/>
          <w:lang w:val="es-ES" w:eastAsia="es-MX"/>
        </w:rPr>
        <w:t>r/ Cifras revisadas</w:t>
      </w:r>
    </w:p>
    <w:p w14:paraId="5F414A12" w14:textId="77777777" w:rsidR="004A6216" w:rsidRDefault="004A6216" w:rsidP="004A6216">
      <w:pPr>
        <w:jc w:val="both"/>
        <w:rPr>
          <w:rFonts w:ascii="Arial" w:hAnsi="Arial" w:cs="Arial"/>
          <w:sz w:val="16"/>
          <w:szCs w:val="16"/>
          <w:lang w:val="es-ES" w:eastAsia="es-MX"/>
        </w:rPr>
      </w:pPr>
      <w:r>
        <w:rPr>
          <w:rFonts w:ascii="Arial" w:hAnsi="Arial" w:cs="Arial"/>
          <w:sz w:val="16"/>
          <w:szCs w:val="16"/>
          <w:lang w:val="es-ES" w:eastAsia="es-MX"/>
        </w:rPr>
        <w:t>p/ Cifras preliminares</w:t>
      </w:r>
    </w:p>
    <w:p w14:paraId="66C38AD9" w14:textId="77777777" w:rsidR="004A6216" w:rsidRPr="00632F32" w:rsidRDefault="004A6216" w:rsidP="004A6216">
      <w:pPr>
        <w:jc w:val="both"/>
        <w:rPr>
          <w:rFonts w:ascii="Arial" w:hAnsi="Arial" w:cs="Arial"/>
          <w:snapToGrid/>
          <w:sz w:val="16"/>
          <w:szCs w:val="16"/>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76B29FC3" w14:textId="77777777" w:rsidR="00BE767E" w:rsidRPr="00C412C3" w:rsidRDefault="00BE767E" w:rsidP="004A6216">
      <w:pPr>
        <w:jc w:val="both"/>
        <w:rPr>
          <w:rFonts w:ascii="Arial" w:hAnsi="Arial" w:cs="Arial"/>
          <w:snapToGrid/>
          <w:sz w:val="16"/>
          <w:szCs w:val="16"/>
          <w:lang w:val="es-ES" w:eastAsia="es-MX"/>
        </w:rPr>
      </w:pPr>
    </w:p>
    <w:p w14:paraId="3DA8027D" w14:textId="77777777" w:rsidR="00FB29C6" w:rsidRDefault="00FB29C6" w:rsidP="00FB29C6">
      <w:pPr>
        <w:widowControl/>
        <w:spacing w:after="100"/>
        <w:contextualSpacing/>
        <w:rPr>
          <w:rFonts w:ascii="Arial" w:hAnsi="Arial" w:cs="Arial"/>
          <w:b/>
          <w:smallCaps/>
          <w:sz w:val="24"/>
          <w:szCs w:val="24"/>
        </w:rPr>
      </w:pPr>
    </w:p>
    <w:p w14:paraId="7174389E" w14:textId="77777777" w:rsidR="00FB29C6" w:rsidRDefault="00FB29C6" w:rsidP="00FB29C6">
      <w:pPr>
        <w:widowControl/>
        <w:spacing w:after="100"/>
        <w:contextualSpacing/>
        <w:rPr>
          <w:rFonts w:ascii="Arial" w:hAnsi="Arial" w:cs="Arial"/>
          <w:b/>
          <w:smallCaps/>
          <w:sz w:val="24"/>
          <w:szCs w:val="24"/>
        </w:rPr>
      </w:pPr>
    </w:p>
    <w:p w14:paraId="12AD02FB" w14:textId="77777777" w:rsidR="00FB29C6" w:rsidRDefault="00FB29C6" w:rsidP="00FB29C6">
      <w:pPr>
        <w:widowControl/>
        <w:spacing w:after="100"/>
        <w:contextualSpacing/>
        <w:rPr>
          <w:rFonts w:ascii="Arial" w:hAnsi="Arial" w:cs="Arial"/>
          <w:b/>
          <w:smallCaps/>
          <w:sz w:val="24"/>
          <w:szCs w:val="24"/>
        </w:rPr>
      </w:pPr>
    </w:p>
    <w:p w14:paraId="12581B26" w14:textId="77777777" w:rsidR="00FB29C6" w:rsidRDefault="00FB29C6" w:rsidP="00FB29C6">
      <w:pPr>
        <w:widowControl/>
        <w:spacing w:after="100"/>
        <w:contextualSpacing/>
        <w:rPr>
          <w:rFonts w:ascii="Arial" w:hAnsi="Arial" w:cs="Arial"/>
          <w:b/>
          <w:smallCaps/>
          <w:sz w:val="24"/>
          <w:szCs w:val="24"/>
        </w:rPr>
      </w:pPr>
    </w:p>
    <w:p w14:paraId="59162A9D" w14:textId="77777777" w:rsidR="00C40409" w:rsidRDefault="00C40409" w:rsidP="00FB29C6">
      <w:pPr>
        <w:widowControl/>
        <w:spacing w:after="100"/>
        <w:contextualSpacing/>
        <w:rPr>
          <w:rFonts w:ascii="Arial" w:hAnsi="Arial" w:cs="Arial"/>
          <w:b/>
          <w:smallCaps/>
          <w:sz w:val="24"/>
          <w:szCs w:val="24"/>
        </w:rPr>
      </w:pPr>
    </w:p>
    <w:p w14:paraId="426DB083" w14:textId="77777777" w:rsidR="00C40409" w:rsidRDefault="00C40409" w:rsidP="00FB29C6">
      <w:pPr>
        <w:widowControl/>
        <w:spacing w:after="100"/>
        <w:contextualSpacing/>
        <w:rPr>
          <w:rFonts w:ascii="Arial" w:hAnsi="Arial" w:cs="Arial"/>
          <w:b/>
          <w:smallCaps/>
          <w:sz w:val="24"/>
          <w:szCs w:val="24"/>
        </w:rPr>
      </w:pPr>
    </w:p>
    <w:p w14:paraId="05196583" w14:textId="77777777" w:rsidR="00FB29C6" w:rsidRDefault="00FB29C6" w:rsidP="00FB29C6">
      <w:pPr>
        <w:widowControl/>
        <w:spacing w:after="100"/>
        <w:contextualSpacing/>
        <w:rPr>
          <w:rFonts w:ascii="Arial" w:hAnsi="Arial" w:cs="Arial"/>
          <w:b/>
          <w:smallCaps/>
          <w:sz w:val="24"/>
          <w:szCs w:val="24"/>
        </w:rPr>
      </w:pPr>
    </w:p>
    <w:p w14:paraId="3A5816DA" w14:textId="77777777" w:rsidR="00FB29C6" w:rsidRDefault="00FB29C6" w:rsidP="00FB29C6">
      <w:pPr>
        <w:widowControl/>
        <w:spacing w:after="100"/>
        <w:contextualSpacing/>
        <w:rPr>
          <w:rFonts w:ascii="Arial" w:hAnsi="Arial" w:cs="Arial"/>
          <w:b/>
          <w:smallCaps/>
          <w:sz w:val="24"/>
          <w:szCs w:val="24"/>
        </w:rPr>
      </w:pPr>
    </w:p>
    <w:p w14:paraId="60716EE1" w14:textId="77777777" w:rsidR="00FB29C6" w:rsidRDefault="00FB29C6" w:rsidP="00FB29C6">
      <w:pPr>
        <w:widowControl/>
        <w:spacing w:after="100"/>
        <w:contextualSpacing/>
        <w:rPr>
          <w:rFonts w:ascii="Arial" w:hAnsi="Arial" w:cs="Arial"/>
          <w:b/>
          <w:smallCaps/>
          <w:sz w:val="24"/>
          <w:szCs w:val="24"/>
        </w:rPr>
      </w:pPr>
      <w:r>
        <w:rPr>
          <w:rFonts w:ascii="Arial" w:hAnsi="Arial" w:cs="Arial"/>
          <w:b/>
          <w:smallCaps/>
          <w:sz w:val="24"/>
          <w:szCs w:val="24"/>
        </w:rPr>
        <w:t>Actividades Terciarias</w:t>
      </w:r>
    </w:p>
    <w:p w14:paraId="7AB784BA" w14:textId="77777777" w:rsidR="00FB29C6" w:rsidRPr="00825BB7" w:rsidRDefault="00FB29C6" w:rsidP="00FB29C6">
      <w:pPr>
        <w:widowControl/>
        <w:spacing w:after="100"/>
        <w:contextualSpacing/>
        <w:rPr>
          <w:rFonts w:ascii="Arial" w:hAnsi="Arial" w:cs="Arial"/>
          <w:b/>
          <w:smallCaps/>
          <w:sz w:val="24"/>
          <w:szCs w:val="24"/>
        </w:rPr>
      </w:pPr>
    </w:p>
    <w:p w14:paraId="6D6BCF59" w14:textId="3BDE8313" w:rsidR="004A6216" w:rsidRDefault="004A6216" w:rsidP="004A6216">
      <w:pPr>
        <w:jc w:val="both"/>
        <w:rPr>
          <w:rFonts w:ascii="Arial" w:hAnsi="Arial" w:cs="Arial"/>
          <w:snapToGrid/>
          <w:sz w:val="24"/>
          <w:szCs w:val="24"/>
          <w:lang w:val="es-ES" w:eastAsia="es-MX"/>
        </w:rPr>
      </w:pPr>
      <w:r>
        <w:rPr>
          <w:rFonts w:ascii="Arial" w:hAnsi="Arial" w:cs="Arial"/>
          <w:sz w:val="24"/>
          <w:szCs w:val="24"/>
          <w:lang w:val="es-ES" w:eastAsia="es-MX"/>
        </w:rPr>
        <w:t>Las Actividades Terciarias incluyen a los sectores dedicados a la distribución de bienes y aquellas actividades vinculadas con operaciones de información y de activos, así como con servicios afines al conocimiento y experiencia personal; además, de los relacionados con la recreación y con la parte gubernamental, entre otros.</w:t>
      </w:r>
      <w:r>
        <w:rPr>
          <w:rFonts w:ascii="Arial" w:hAnsi="Arial" w:cs="Arial"/>
          <w:snapToGrid/>
          <w:sz w:val="24"/>
          <w:szCs w:val="24"/>
          <w:lang w:val="es-ES" w:eastAsia="es-MX"/>
        </w:rPr>
        <w:t xml:space="preserve"> </w:t>
      </w:r>
      <w:r w:rsidR="00BE767E">
        <w:rPr>
          <w:rFonts w:ascii="Arial" w:hAnsi="Arial" w:cs="Arial"/>
          <w:snapToGrid/>
          <w:sz w:val="24"/>
          <w:szCs w:val="24"/>
          <w:lang w:val="es-ES" w:eastAsia="es-MX"/>
        </w:rPr>
        <w:t xml:space="preserve">La entidad en estas actividades mostró un </w:t>
      </w:r>
      <w:r w:rsidR="00C40409">
        <w:rPr>
          <w:rFonts w:ascii="Arial" w:hAnsi="Arial" w:cs="Arial"/>
          <w:snapToGrid/>
          <w:sz w:val="24"/>
          <w:szCs w:val="24"/>
          <w:lang w:val="es-ES" w:eastAsia="es-MX"/>
        </w:rPr>
        <w:t xml:space="preserve">retroceso </w:t>
      </w:r>
      <w:r w:rsidR="00232AE9">
        <w:rPr>
          <w:rFonts w:ascii="Arial" w:hAnsi="Arial" w:cs="Arial"/>
          <w:snapToGrid/>
          <w:sz w:val="24"/>
          <w:szCs w:val="24"/>
          <w:lang w:val="es-ES" w:eastAsia="es-MX"/>
        </w:rPr>
        <w:t xml:space="preserve">a tasa anual </w:t>
      </w:r>
      <w:r w:rsidR="00BE767E">
        <w:rPr>
          <w:rFonts w:ascii="Arial" w:hAnsi="Arial" w:cs="Arial"/>
          <w:snapToGrid/>
          <w:sz w:val="24"/>
          <w:szCs w:val="24"/>
          <w:lang w:val="es-ES" w:eastAsia="es-MX"/>
        </w:rPr>
        <w:t xml:space="preserve">de </w:t>
      </w:r>
      <w:r w:rsidR="00C40409">
        <w:rPr>
          <w:rFonts w:ascii="Arial" w:hAnsi="Arial" w:cs="Arial"/>
          <w:snapToGrid/>
          <w:sz w:val="24"/>
          <w:szCs w:val="24"/>
          <w:lang w:val="es-ES" w:eastAsia="es-MX"/>
        </w:rPr>
        <w:t>(-)</w:t>
      </w:r>
      <w:r w:rsidR="00F44577">
        <w:rPr>
          <w:rFonts w:ascii="Arial" w:hAnsi="Arial" w:cs="Arial"/>
          <w:snapToGrid/>
          <w:sz w:val="24"/>
          <w:szCs w:val="24"/>
          <w:lang w:val="es-ES" w:eastAsia="es-MX"/>
        </w:rPr>
        <w:t>1.7</w:t>
      </w:r>
      <w:r w:rsidR="00BE767E">
        <w:rPr>
          <w:rFonts w:ascii="Arial" w:hAnsi="Arial" w:cs="Arial"/>
          <w:snapToGrid/>
          <w:sz w:val="24"/>
          <w:szCs w:val="24"/>
          <w:lang w:val="es-ES" w:eastAsia="es-MX"/>
        </w:rPr>
        <w:t xml:space="preserve">% en el </w:t>
      </w:r>
      <w:r w:rsidR="00261494">
        <w:rPr>
          <w:rFonts w:ascii="Arial" w:hAnsi="Arial" w:cs="Arial"/>
          <w:snapToGrid/>
          <w:sz w:val="24"/>
          <w:szCs w:val="24"/>
          <w:lang w:val="es-ES" w:eastAsia="es-MX"/>
        </w:rPr>
        <w:t>primer trimestre de 2019</w:t>
      </w:r>
      <w:r w:rsidR="00BE767E">
        <w:rPr>
          <w:rFonts w:ascii="Arial" w:hAnsi="Arial" w:cs="Arial"/>
          <w:snapToGrid/>
          <w:sz w:val="24"/>
          <w:szCs w:val="24"/>
          <w:lang w:val="es-ES" w:eastAsia="es-MX"/>
        </w:rPr>
        <w:t xml:space="preserve">, </w:t>
      </w:r>
      <w:r w:rsidR="005A1F19">
        <w:rPr>
          <w:rFonts w:ascii="Arial" w:hAnsi="Arial" w:cs="Arial"/>
          <w:snapToGrid/>
          <w:sz w:val="24"/>
          <w:szCs w:val="24"/>
          <w:lang w:val="es-ES" w:eastAsia="es-MX"/>
        </w:rPr>
        <w:t xml:space="preserve">ocasionado </w:t>
      </w:r>
      <w:r w:rsidR="00BE767E">
        <w:rPr>
          <w:rFonts w:ascii="Arial" w:hAnsi="Arial" w:cs="Arial"/>
          <w:snapToGrid/>
          <w:sz w:val="24"/>
          <w:szCs w:val="24"/>
          <w:lang w:val="es-ES" w:eastAsia="es-MX"/>
        </w:rPr>
        <w:t>por el</w:t>
      </w:r>
      <w:r w:rsidR="00625CA1">
        <w:rPr>
          <w:rFonts w:ascii="Arial" w:hAnsi="Arial" w:cs="Arial"/>
          <w:snapToGrid/>
          <w:sz w:val="24"/>
          <w:szCs w:val="24"/>
          <w:lang w:val="es-ES" w:eastAsia="es-MX"/>
        </w:rPr>
        <w:t xml:space="preserve"> comportamiento registrado en la</w:t>
      </w:r>
      <w:r w:rsidR="00BE767E">
        <w:rPr>
          <w:rFonts w:ascii="Arial" w:hAnsi="Arial" w:cs="Arial"/>
          <w:snapToGrid/>
          <w:sz w:val="24"/>
          <w:szCs w:val="24"/>
          <w:lang w:val="es-ES" w:eastAsia="es-MX"/>
        </w:rPr>
        <w:t>s</w:t>
      </w:r>
      <w:r w:rsidR="00625CA1">
        <w:rPr>
          <w:rFonts w:ascii="Arial" w:hAnsi="Arial" w:cs="Arial"/>
          <w:snapToGrid/>
          <w:sz w:val="24"/>
          <w:szCs w:val="24"/>
          <w:lang w:val="es-ES" w:eastAsia="es-MX"/>
        </w:rPr>
        <w:t xml:space="preserve"> </w:t>
      </w:r>
      <w:r w:rsidR="00C40409" w:rsidRPr="00C40409">
        <w:rPr>
          <w:rFonts w:ascii="Arial" w:hAnsi="Arial" w:cs="Arial"/>
          <w:snapToGrid/>
          <w:sz w:val="24"/>
          <w:szCs w:val="24"/>
          <w:lang w:val="es-ES" w:eastAsia="es-MX"/>
        </w:rPr>
        <w:t xml:space="preserve">actividades legislativas, gubernamentales y de impartición de justicia; </w:t>
      </w:r>
      <w:r w:rsidR="00287416">
        <w:rPr>
          <w:rFonts w:ascii="Arial" w:hAnsi="Arial" w:cs="Arial"/>
          <w:snapToGrid/>
          <w:sz w:val="24"/>
          <w:szCs w:val="24"/>
          <w:lang w:val="es-ES" w:eastAsia="es-MX"/>
        </w:rPr>
        <w:t xml:space="preserve">en el </w:t>
      </w:r>
      <w:r w:rsidR="00C40409" w:rsidRPr="00C40409">
        <w:rPr>
          <w:rFonts w:ascii="Arial" w:hAnsi="Arial" w:cs="Arial"/>
          <w:snapToGrid/>
          <w:sz w:val="24"/>
          <w:szCs w:val="24"/>
          <w:lang w:val="es-ES" w:eastAsia="es-MX"/>
        </w:rPr>
        <w:t xml:space="preserve">comercio; </w:t>
      </w:r>
      <w:r w:rsidR="00287416">
        <w:rPr>
          <w:rFonts w:ascii="Arial" w:hAnsi="Arial" w:cs="Arial"/>
          <w:snapToGrid/>
          <w:sz w:val="24"/>
          <w:szCs w:val="24"/>
          <w:lang w:val="es-ES" w:eastAsia="es-MX"/>
        </w:rPr>
        <w:t xml:space="preserve">en los </w:t>
      </w:r>
      <w:r w:rsidR="00F44577">
        <w:rPr>
          <w:rFonts w:ascii="Arial" w:hAnsi="Arial" w:cs="Arial"/>
          <w:snapToGrid/>
          <w:sz w:val="24"/>
          <w:szCs w:val="24"/>
          <w:lang w:val="es-ES" w:eastAsia="es-MX"/>
        </w:rPr>
        <w:t>t</w:t>
      </w:r>
      <w:r w:rsidR="00F44577" w:rsidRPr="00F44577">
        <w:rPr>
          <w:rFonts w:ascii="Arial" w:hAnsi="Arial" w:cs="Arial"/>
          <w:snapToGrid/>
          <w:sz w:val="24"/>
          <w:szCs w:val="24"/>
          <w:lang w:val="es-ES" w:eastAsia="es-MX"/>
        </w:rPr>
        <w:t>ransportes, correos y almacenamiento</w:t>
      </w:r>
      <w:r w:rsidR="00F44577">
        <w:rPr>
          <w:rFonts w:ascii="Arial" w:hAnsi="Arial" w:cs="Arial"/>
          <w:snapToGrid/>
          <w:sz w:val="24"/>
          <w:szCs w:val="24"/>
          <w:lang w:val="es-ES" w:eastAsia="es-MX"/>
        </w:rPr>
        <w:t xml:space="preserve">; en los </w:t>
      </w:r>
      <w:r w:rsidR="00C40409" w:rsidRPr="00C40409">
        <w:rPr>
          <w:rFonts w:ascii="Arial" w:hAnsi="Arial" w:cs="Arial"/>
          <w:snapToGrid/>
          <w:sz w:val="24"/>
          <w:szCs w:val="24"/>
          <w:lang w:val="es-ES" w:eastAsia="es-MX"/>
        </w:rPr>
        <w:t xml:space="preserve">servicios profesionales, científicos y técnicos; </w:t>
      </w:r>
      <w:r w:rsidR="00F44577">
        <w:rPr>
          <w:rFonts w:ascii="Arial" w:hAnsi="Arial" w:cs="Arial"/>
          <w:snapToGrid/>
          <w:sz w:val="24"/>
          <w:szCs w:val="24"/>
          <w:lang w:val="es-ES" w:eastAsia="es-MX"/>
        </w:rPr>
        <w:t xml:space="preserve">y </w:t>
      </w:r>
      <w:r w:rsidR="00287416">
        <w:rPr>
          <w:rFonts w:ascii="Arial" w:hAnsi="Arial" w:cs="Arial"/>
          <w:snapToGrid/>
          <w:sz w:val="24"/>
          <w:szCs w:val="24"/>
          <w:lang w:val="es-ES" w:eastAsia="es-MX"/>
        </w:rPr>
        <w:t xml:space="preserve">en </w:t>
      </w:r>
      <w:r w:rsidR="00F44577">
        <w:rPr>
          <w:rFonts w:ascii="Arial" w:hAnsi="Arial" w:cs="Arial"/>
          <w:snapToGrid/>
          <w:sz w:val="24"/>
          <w:szCs w:val="24"/>
          <w:lang w:val="es-ES" w:eastAsia="es-MX"/>
        </w:rPr>
        <w:t>la información en medios masivos</w:t>
      </w:r>
      <w:r w:rsidR="00D338A5">
        <w:rPr>
          <w:rFonts w:ascii="Arial" w:hAnsi="Arial" w:cs="Arial"/>
          <w:snapToGrid/>
          <w:sz w:val="24"/>
          <w:szCs w:val="24"/>
          <w:lang w:val="es-ES" w:eastAsia="es-MX"/>
        </w:rPr>
        <w:t>, principalmente</w:t>
      </w:r>
      <w:r w:rsidR="00BE767E">
        <w:rPr>
          <w:rFonts w:ascii="Arial" w:hAnsi="Arial" w:cs="Arial"/>
          <w:sz w:val="24"/>
          <w:szCs w:val="24"/>
        </w:rPr>
        <w:t xml:space="preserve">. </w:t>
      </w:r>
      <w:r w:rsidR="00BE767E">
        <w:rPr>
          <w:rFonts w:ascii="Arial" w:hAnsi="Arial" w:cs="Arial"/>
          <w:snapToGrid/>
          <w:sz w:val="24"/>
          <w:szCs w:val="24"/>
          <w:lang w:val="es-ES" w:eastAsia="es-MX"/>
        </w:rPr>
        <w:t xml:space="preserve">Derivado de este escenario, la entidad se ubicó en el </w:t>
      </w:r>
      <w:r w:rsidR="00287416">
        <w:rPr>
          <w:rFonts w:ascii="Arial" w:hAnsi="Arial" w:cs="Arial"/>
          <w:snapToGrid/>
          <w:sz w:val="24"/>
          <w:szCs w:val="24"/>
          <w:lang w:val="es-ES" w:eastAsia="es-MX"/>
        </w:rPr>
        <w:t xml:space="preserve">último </w:t>
      </w:r>
      <w:r w:rsidR="00BE767E">
        <w:rPr>
          <w:rFonts w:ascii="Arial" w:hAnsi="Arial" w:cs="Arial"/>
          <w:snapToGrid/>
          <w:sz w:val="24"/>
          <w:szCs w:val="24"/>
          <w:lang w:val="es-ES" w:eastAsia="es-MX"/>
        </w:rPr>
        <w:t>lugar del crecimiento nacional</w:t>
      </w:r>
      <w:r w:rsidR="00297338">
        <w:rPr>
          <w:rFonts w:ascii="Arial" w:hAnsi="Arial" w:cs="Arial"/>
          <w:snapToGrid/>
          <w:sz w:val="24"/>
          <w:szCs w:val="24"/>
          <w:lang w:val="es-ES" w:eastAsia="es-MX"/>
        </w:rPr>
        <w:t>.</w:t>
      </w:r>
    </w:p>
    <w:p w14:paraId="5BFE8C3B" w14:textId="77777777" w:rsidR="00F9796F" w:rsidRPr="00FC2B80" w:rsidRDefault="00F9796F" w:rsidP="004A6216">
      <w:pPr>
        <w:jc w:val="both"/>
        <w:rPr>
          <w:rFonts w:ascii="Arial" w:hAnsi="Arial" w:cs="Arial"/>
          <w:snapToGrid/>
          <w:sz w:val="24"/>
          <w:szCs w:val="24"/>
          <w:lang w:val="es-ES" w:eastAsia="es-MX"/>
        </w:rPr>
      </w:pPr>
    </w:p>
    <w:p w14:paraId="4F5699DC" w14:textId="77777777" w:rsidR="004A6216" w:rsidRPr="0042168D"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Gráfica </w:t>
      </w:r>
      <w:r>
        <w:rPr>
          <w:rFonts w:ascii="Arial" w:hAnsi="Arial" w:cs="Arial"/>
          <w:b/>
          <w:snapToGrid/>
          <w:sz w:val="16"/>
          <w:szCs w:val="16"/>
          <w:lang w:val="es-ES" w:eastAsia="es-MX"/>
        </w:rPr>
        <w:t>4</w:t>
      </w:r>
    </w:p>
    <w:p w14:paraId="48597260"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2A85A478" w14:textId="77777777" w:rsidR="008D551D" w:rsidRDefault="008D551D" w:rsidP="008D551D">
      <w:pPr>
        <w:jc w:val="center"/>
        <w:rPr>
          <w:rFonts w:ascii="Arial" w:hAnsi="Arial" w:cs="Arial"/>
          <w:b/>
          <w:bCs/>
          <w:snapToGrid/>
          <w:sz w:val="18"/>
          <w:szCs w:val="18"/>
          <w:lang w:val="es-ES" w:eastAsia="es-MX"/>
        </w:rPr>
      </w:pPr>
      <w:r>
        <w:rPr>
          <w:rFonts w:ascii="Arial" w:hAnsi="Arial" w:cs="Arial"/>
          <w:b/>
          <w:bCs/>
          <w:snapToGrid/>
          <w:sz w:val="22"/>
          <w:szCs w:val="22"/>
          <w:lang w:val="es-ES" w:eastAsia="es-MX"/>
        </w:rPr>
        <w:t>M</w:t>
      </w:r>
      <w:r w:rsidRPr="008D551D">
        <w:rPr>
          <w:rFonts w:ascii="Arial" w:hAnsi="Arial" w:cs="Arial"/>
          <w:b/>
          <w:bCs/>
          <w:snapToGrid/>
          <w:sz w:val="18"/>
          <w:szCs w:val="22"/>
          <w:lang w:val="es-ES" w:eastAsia="es-MX"/>
        </w:rPr>
        <w:t>ORELOS</w:t>
      </w:r>
    </w:p>
    <w:p w14:paraId="64035008" w14:textId="77777777" w:rsidR="004A6216" w:rsidRPr="0042168D" w:rsidRDefault="004A6216" w:rsidP="004A6216">
      <w:pPr>
        <w:jc w:val="center"/>
        <w:rPr>
          <w:rFonts w:ascii="Arial" w:hAnsi="Arial" w:cs="Arial"/>
          <w:snapToGrid/>
          <w:sz w:val="18"/>
          <w:szCs w:val="18"/>
          <w:lang w:val="es-ES" w:eastAsia="es-MX"/>
        </w:rPr>
      </w:pPr>
      <w:r>
        <w:rPr>
          <w:rFonts w:ascii="Arial" w:hAnsi="Arial" w:cs="Arial"/>
          <w:b/>
          <w:bCs/>
          <w:sz w:val="22"/>
          <w:szCs w:val="22"/>
          <w:lang w:val="es-ES" w:eastAsia="es-MX"/>
        </w:rPr>
        <w:lastRenderedPageBreak/>
        <w:t>A</w:t>
      </w:r>
      <w:r>
        <w:rPr>
          <w:rFonts w:ascii="Arial" w:hAnsi="Arial" w:cs="Arial"/>
          <w:b/>
          <w:bCs/>
          <w:sz w:val="18"/>
          <w:szCs w:val="18"/>
          <w:lang w:val="es-ES" w:eastAsia="es-MX"/>
        </w:rPr>
        <w:t>CTIVIDADES</w:t>
      </w:r>
      <w:r>
        <w:rPr>
          <w:rFonts w:ascii="Arial" w:hAnsi="Arial" w:cs="Arial"/>
          <w:b/>
          <w:bCs/>
          <w:sz w:val="22"/>
          <w:szCs w:val="22"/>
          <w:lang w:val="es-ES" w:eastAsia="es-MX"/>
        </w:rPr>
        <w:t xml:space="preserve"> T</w:t>
      </w:r>
      <w:r>
        <w:rPr>
          <w:rFonts w:ascii="Arial" w:hAnsi="Arial" w:cs="Arial"/>
          <w:b/>
          <w:bCs/>
          <w:sz w:val="18"/>
          <w:szCs w:val="18"/>
          <w:lang w:val="es-ES" w:eastAsia="es-MX"/>
        </w:rPr>
        <w:t>ERCIARIAS</w:t>
      </w:r>
    </w:p>
    <w:p w14:paraId="6E2224D6" w14:textId="77777777" w:rsidR="004A6216" w:rsidRDefault="004A6216" w:rsidP="004A6216">
      <w:pPr>
        <w:jc w:val="center"/>
        <w:rPr>
          <w:rFonts w:ascii="Arial" w:hAnsi="Arial" w:cs="Arial"/>
          <w:b/>
          <w:snapToGrid/>
          <w:sz w:val="16"/>
          <w:szCs w:val="16"/>
          <w:lang w:val="es-ES" w:eastAsia="es-MX"/>
        </w:rPr>
      </w:pPr>
      <w:r w:rsidRPr="0042168D">
        <w:rPr>
          <w:rFonts w:ascii="Arial" w:hAnsi="Arial" w:cs="Arial"/>
          <w:b/>
          <w:snapToGrid/>
          <w:sz w:val="16"/>
          <w:szCs w:val="16"/>
          <w:lang w:val="es-ES" w:eastAsia="es-MX"/>
        </w:rPr>
        <w:t xml:space="preserve">(Variación porcentual </w:t>
      </w:r>
      <w:r>
        <w:rPr>
          <w:rFonts w:ascii="Arial" w:hAnsi="Arial" w:cs="Arial"/>
          <w:b/>
          <w:snapToGrid/>
          <w:sz w:val="16"/>
          <w:szCs w:val="16"/>
          <w:lang w:val="es-ES" w:eastAsia="es-MX"/>
        </w:rPr>
        <w:t>real con respecto</w:t>
      </w:r>
      <w:r w:rsidRPr="0042168D">
        <w:rPr>
          <w:rFonts w:ascii="Arial" w:hAnsi="Arial" w:cs="Arial"/>
          <w:b/>
          <w:snapToGrid/>
          <w:sz w:val="16"/>
          <w:szCs w:val="16"/>
          <w:lang w:val="es-ES" w:eastAsia="es-MX"/>
        </w:rPr>
        <w:t xml:space="preserve"> al mismo periodo del año anterior</w:t>
      </w:r>
      <w:r>
        <w:rPr>
          <w:rFonts w:ascii="Arial" w:hAnsi="Arial" w:cs="Arial"/>
          <w:b/>
          <w:snapToGrid/>
          <w:sz w:val="16"/>
          <w:szCs w:val="16"/>
          <w:lang w:val="es-ES" w:eastAsia="es-MX"/>
        </w:rPr>
        <w:t>)</w:t>
      </w:r>
    </w:p>
    <w:p w14:paraId="2EEC0F18" w14:textId="77777777" w:rsidR="004A6216" w:rsidRPr="00D22497" w:rsidRDefault="009002B4" w:rsidP="004A6216">
      <w:pPr>
        <w:jc w:val="center"/>
        <w:rPr>
          <w:rFonts w:ascii="Arial" w:hAnsi="Arial" w:cs="Arial"/>
          <w:b/>
          <w:snapToGrid/>
          <w:sz w:val="16"/>
          <w:szCs w:val="16"/>
          <w:lang w:val="es-ES" w:eastAsia="es-MX"/>
        </w:rPr>
      </w:pPr>
      <w:r w:rsidRPr="009002B4">
        <w:rPr>
          <w:noProof/>
          <w:lang w:val="es-MX" w:eastAsia="es-MX"/>
        </w:rPr>
        <w:drawing>
          <wp:inline distT="0" distB="0" distL="0" distR="0" wp14:anchorId="23E45248" wp14:editId="09356AB4">
            <wp:extent cx="6224400" cy="42120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24400" cy="4212000"/>
                    </a:xfrm>
                    <a:prstGeom prst="rect">
                      <a:avLst/>
                    </a:prstGeom>
                    <a:noFill/>
                    <a:ln>
                      <a:noFill/>
                    </a:ln>
                  </pic:spPr>
                </pic:pic>
              </a:graphicData>
            </a:graphic>
          </wp:inline>
        </w:drawing>
      </w:r>
    </w:p>
    <w:p w14:paraId="310BCE2E" w14:textId="77777777" w:rsidR="004A6216" w:rsidRDefault="004A6216" w:rsidP="004A6216">
      <w:pPr>
        <w:jc w:val="both"/>
        <w:rPr>
          <w:rFonts w:ascii="Arial" w:hAnsi="Arial" w:cs="Arial"/>
          <w:sz w:val="16"/>
          <w:szCs w:val="16"/>
          <w:lang w:val="es-ES" w:eastAsia="es-MX"/>
        </w:rPr>
      </w:pPr>
      <w:r w:rsidRPr="005E0212">
        <w:rPr>
          <w:rFonts w:ascii="Arial" w:hAnsi="Arial" w:cs="Arial"/>
          <w:sz w:val="16"/>
          <w:szCs w:val="16"/>
          <w:lang w:val="es-ES" w:eastAsia="es-MX"/>
        </w:rPr>
        <w:t>r/ Cifras revisadas</w:t>
      </w:r>
    </w:p>
    <w:p w14:paraId="2CF198F9" w14:textId="77777777" w:rsidR="004A6216" w:rsidRDefault="004A6216" w:rsidP="004A6216">
      <w:pPr>
        <w:jc w:val="both"/>
        <w:rPr>
          <w:rFonts w:ascii="Arial" w:hAnsi="Arial" w:cs="Arial"/>
          <w:sz w:val="16"/>
          <w:szCs w:val="16"/>
          <w:lang w:val="es-ES" w:eastAsia="es-MX"/>
        </w:rPr>
      </w:pPr>
      <w:r>
        <w:rPr>
          <w:rFonts w:ascii="Arial" w:hAnsi="Arial" w:cs="Arial"/>
          <w:sz w:val="16"/>
          <w:szCs w:val="16"/>
          <w:lang w:val="es-ES" w:eastAsia="es-MX"/>
        </w:rPr>
        <w:t>p/ Cifras preliminares</w:t>
      </w:r>
    </w:p>
    <w:p w14:paraId="4B864F44" w14:textId="77777777" w:rsidR="004A6216" w:rsidRDefault="004A6216" w:rsidP="004A6216">
      <w:pPr>
        <w:jc w:val="both"/>
        <w:rPr>
          <w:rFonts w:ascii="Arial" w:hAnsi="Arial" w:cs="Arial"/>
          <w:snapToGrid/>
          <w:sz w:val="16"/>
          <w:szCs w:val="16"/>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7A9BB020" w14:textId="77777777" w:rsidR="004A6216" w:rsidRDefault="004A6216" w:rsidP="004A6216">
      <w:pPr>
        <w:jc w:val="both"/>
        <w:rPr>
          <w:rFonts w:ascii="Arial" w:hAnsi="Arial" w:cs="Arial"/>
          <w:sz w:val="24"/>
          <w:szCs w:val="24"/>
          <w:lang w:val="es-ES"/>
        </w:rPr>
      </w:pPr>
    </w:p>
    <w:p w14:paraId="41C0C651" w14:textId="77777777" w:rsidR="00BE767E" w:rsidRDefault="00BE767E" w:rsidP="004A6216">
      <w:pPr>
        <w:jc w:val="both"/>
        <w:rPr>
          <w:rFonts w:ascii="Arial" w:hAnsi="Arial" w:cs="Arial"/>
          <w:sz w:val="24"/>
          <w:szCs w:val="24"/>
          <w:lang w:val="es-ES"/>
        </w:rPr>
      </w:pPr>
    </w:p>
    <w:p w14:paraId="1B84F3A9" w14:textId="77777777" w:rsidR="00FB29C6" w:rsidRDefault="00FB29C6" w:rsidP="004A6216">
      <w:pPr>
        <w:jc w:val="both"/>
        <w:rPr>
          <w:rFonts w:ascii="Arial" w:hAnsi="Arial" w:cs="Arial"/>
          <w:sz w:val="24"/>
          <w:szCs w:val="24"/>
          <w:lang w:val="es-ES"/>
        </w:rPr>
      </w:pPr>
    </w:p>
    <w:p w14:paraId="568452E4" w14:textId="1BFABDBF" w:rsidR="004A6216" w:rsidRDefault="00BE767E" w:rsidP="004A6216">
      <w:pPr>
        <w:jc w:val="both"/>
        <w:rPr>
          <w:rFonts w:ascii="Arial" w:hAnsi="Arial" w:cs="Arial"/>
          <w:snapToGrid/>
          <w:sz w:val="24"/>
          <w:szCs w:val="24"/>
          <w:lang w:eastAsia="es-MX"/>
        </w:rPr>
      </w:pPr>
      <w:r>
        <w:rPr>
          <w:rFonts w:ascii="Arial" w:hAnsi="Arial" w:cs="Arial"/>
          <w:sz w:val="24"/>
          <w:szCs w:val="24"/>
          <w:lang w:val="es-ES"/>
        </w:rPr>
        <w:t xml:space="preserve">Finalmente, cabe mencionar que, en el </w:t>
      </w:r>
      <w:r w:rsidR="00261494">
        <w:rPr>
          <w:rFonts w:ascii="Arial" w:hAnsi="Arial" w:cs="Arial"/>
          <w:sz w:val="24"/>
          <w:szCs w:val="24"/>
          <w:lang w:val="es-ES"/>
        </w:rPr>
        <w:t xml:space="preserve">primer trimestre </w:t>
      </w:r>
      <w:r w:rsidR="00261494">
        <w:rPr>
          <w:rFonts w:ascii="Arial" w:hAnsi="Arial" w:cs="Arial"/>
          <w:sz w:val="24"/>
          <w:szCs w:val="24"/>
          <w:lang w:val="es-ES"/>
        </w:rPr>
        <w:lastRenderedPageBreak/>
        <w:t>de 2019</w:t>
      </w:r>
      <w:r>
        <w:rPr>
          <w:rFonts w:ascii="Arial" w:hAnsi="Arial" w:cs="Arial"/>
          <w:sz w:val="24"/>
          <w:szCs w:val="24"/>
          <w:lang w:val="es-ES"/>
        </w:rPr>
        <w:t>, Morelos obtuvo el</w:t>
      </w:r>
      <w:r w:rsidR="00625CA1">
        <w:rPr>
          <w:rFonts w:ascii="Arial" w:hAnsi="Arial" w:cs="Arial"/>
          <w:sz w:val="24"/>
          <w:szCs w:val="24"/>
          <w:lang w:val="es-ES"/>
        </w:rPr>
        <w:t xml:space="preserve"> </w:t>
      </w:r>
      <w:r>
        <w:rPr>
          <w:rFonts w:ascii="Arial" w:hAnsi="Arial" w:cs="Arial"/>
          <w:sz w:val="24"/>
          <w:szCs w:val="24"/>
          <w:lang w:val="es-ES"/>
        </w:rPr>
        <w:t xml:space="preserve">lugar </w:t>
      </w:r>
      <w:r w:rsidR="00F44577">
        <w:rPr>
          <w:rFonts w:ascii="Arial" w:hAnsi="Arial" w:cs="Arial"/>
          <w:sz w:val="24"/>
          <w:szCs w:val="24"/>
          <w:lang w:val="es-ES"/>
        </w:rPr>
        <w:t xml:space="preserve">22 </w:t>
      </w:r>
      <w:r>
        <w:rPr>
          <w:rFonts w:ascii="Arial" w:hAnsi="Arial" w:cs="Arial"/>
          <w:sz w:val="24"/>
          <w:szCs w:val="24"/>
          <w:lang w:val="es-ES"/>
        </w:rPr>
        <w:t>en el total de la economía, con respecto a las demás entidades federativas;</w:t>
      </w:r>
      <w:r w:rsidRPr="00C91723">
        <w:rPr>
          <w:rFonts w:ascii="Arial" w:hAnsi="Arial" w:cs="Arial"/>
          <w:color w:val="000000"/>
          <w:sz w:val="24"/>
          <w:szCs w:val="24"/>
          <w:lang w:val="es-ES"/>
        </w:rPr>
        <w:t xml:space="preserve"> </w:t>
      </w:r>
      <w:r>
        <w:rPr>
          <w:rFonts w:ascii="Arial" w:hAnsi="Arial" w:cs="Arial"/>
          <w:color w:val="000000"/>
          <w:sz w:val="24"/>
          <w:szCs w:val="24"/>
          <w:lang w:val="es-ES"/>
        </w:rPr>
        <w:t>a</w:t>
      </w:r>
      <w:r w:rsidRPr="00CB7360">
        <w:rPr>
          <w:rFonts w:ascii="Arial" w:hAnsi="Arial" w:cs="Arial"/>
          <w:color w:val="000000"/>
          <w:sz w:val="24"/>
          <w:szCs w:val="24"/>
          <w:lang w:val="es-ES"/>
        </w:rPr>
        <w:t>simismo, aportó 0.</w:t>
      </w:r>
      <w:r>
        <w:rPr>
          <w:rFonts w:ascii="Arial" w:hAnsi="Arial" w:cs="Arial"/>
          <w:color w:val="000000"/>
          <w:sz w:val="24"/>
          <w:szCs w:val="24"/>
          <w:lang w:val="es-ES"/>
        </w:rPr>
        <w:t>0</w:t>
      </w:r>
      <w:r w:rsidR="00F44577">
        <w:rPr>
          <w:rFonts w:ascii="Arial" w:hAnsi="Arial" w:cs="Arial"/>
          <w:color w:val="000000"/>
          <w:sz w:val="24"/>
          <w:szCs w:val="24"/>
          <w:lang w:val="es-ES"/>
        </w:rPr>
        <w:t>1</w:t>
      </w:r>
      <w:r w:rsidRPr="00CB7360">
        <w:rPr>
          <w:rFonts w:ascii="Arial" w:hAnsi="Arial" w:cs="Arial"/>
          <w:color w:val="000000"/>
          <w:sz w:val="24"/>
          <w:szCs w:val="24"/>
          <w:lang w:val="es-ES"/>
        </w:rPr>
        <w:t xml:space="preserve"> puntos porcentuales al increm</w:t>
      </w:r>
      <w:r w:rsidR="005E0382">
        <w:rPr>
          <w:rFonts w:ascii="Arial" w:hAnsi="Arial" w:cs="Arial"/>
          <w:color w:val="000000"/>
          <w:sz w:val="24"/>
          <w:szCs w:val="24"/>
          <w:lang w:val="es-ES"/>
        </w:rPr>
        <w:t xml:space="preserve">ento nacional, ubicándose en la </w:t>
      </w:r>
      <w:r w:rsidR="00F44577">
        <w:rPr>
          <w:rFonts w:ascii="Arial" w:hAnsi="Arial" w:cs="Arial"/>
          <w:color w:val="000000"/>
          <w:sz w:val="24"/>
          <w:szCs w:val="24"/>
          <w:lang w:val="es-ES"/>
        </w:rPr>
        <w:t>vigésima tercera</w:t>
      </w:r>
      <w:r w:rsidR="00287416">
        <w:rPr>
          <w:rFonts w:ascii="Arial" w:hAnsi="Arial" w:cs="Arial"/>
          <w:color w:val="000000"/>
          <w:sz w:val="24"/>
          <w:szCs w:val="24"/>
          <w:lang w:val="es-ES"/>
        </w:rPr>
        <w:t xml:space="preserve"> </w:t>
      </w:r>
      <w:r w:rsidR="005E0382">
        <w:rPr>
          <w:rFonts w:ascii="Arial" w:hAnsi="Arial" w:cs="Arial"/>
          <w:color w:val="000000"/>
          <w:sz w:val="24"/>
          <w:szCs w:val="24"/>
          <w:lang w:val="es-ES"/>
        </w:rPr>
        <w:t xml:space="preserve">posición </w:t>
      </w:r>
      <w:r>
        <w:rPr>
          <w:rFonts w:ascii="Arial" w:hAnsi="Arial" w:cs="Arial"/>
          <w:color w:val="000000"/>
          <w:sz w:val="24"/>
          <w:szCs w:val="24"/>
          <w:lang w:val="es-ES"/>
        </w:rPr>
        <w:t>de contribución</w:t>
      </w:r>
      <w:r w:rsidR="004A6216">
        <w:rPr>
          <w:rFonts w:ascii="Arial" w:hAnsi="Arial" w:cs="Arial"/>
          <w:sz w:val="24"/>
          <w:szCs w:val="24"/>
          <w:lang w:val="es-ES"/>
        </w:rPr>
        <w:t>.</w:t>
      </w:r>
    </w:p>
    <w:p w14:paraId="2D6CCD05" w14:textId="77777777" w:rsidR="004A6216" w:rsidRPr="00FC2B80" w:rsidRDefault="004A6216" w:rsidP="004A6216">
      <w:pPr>
        <w:jc w:val="both"/>
        <w:rPr>
          <w:rFonts w:ascii="Arial" w:hAnsi="Arial" w:cs="Arial"/>
          <w:snapToGrid/>
          <w:sz w:val="24"/>
          <w:szCs w:val="24"/>
          <w:lang w:eastAsia="es-MX"/>
        </w:rPr>
      </w:pPr>
    </w:p>
    <w:p w14:paraId="42020AA3" w14:textId="77777777" w:rsidR="004A6216" w:rsidRDefault="004A6216" w:rsidP="004A6216">
      <w:pPr>
        <w:jc w:val="center"/>
        <w:rPr>
          <w:rFonts w:ascii="Arial" w:hAnsi="Arial" w:cs="Arial"/>
          <w:b/>
          <w:snapToGrid/>
          <w:sz w:val="16"/>
          <w:szCs w:val="16"/>
          <w:lang w:val="es-ES" w:eastAsia="es-MX"/>
        </w:rPr>
      </w:pPr>
    </w:p>
    <w:p w14:paraId="635EF68A" w14:textId="77777777" w:rsidR="004A6216" w:rsidRPr="0042168D" w:rsidRDefault="004A6216" w:rsidP="004A6216">
      <w:pPr>
        <w:jc w:val="center"/>
        <w:rPr>
          <w:rFonts w:ascii="Arial" w:hAnsi="Arial" w:cs="Arial"/>
          <w:b/>
          <w:snapToGrid/>
          <w:sz w:val="16"/>
          <w:szCs w:val="16"/>
          <w:lang w:val="es-ES" w:eastAsia="es-MX"/>
        </w:rPr>
      </w:pPr>
      <w:r>
        <w:rPr>
          <w:rFonts w:ascii="Arial" w:hAnsi="Arial" w:cs="Arial"/>
          <w:b/>
          <w:snapToGrid/>
          <w:sz w:val="16"/>
          <w:szCs w:val="16"/>
          <w:lang w:val="es-ES" w:eastAsia="es-MX"/>
        </w:rPr>
        <w:t>Gráfica 5</w:t>
      </w:r>
    </w:p>
    <w:p w14:paraId="4D24F87B" w14:textId="77777777" w:rsidR="004A6216" w:rsidRDefault="004A6216" w:rsidP="004A6216">
      <w:pPr>
        <w:jc w:val="center"/>
        <w:rPr>
          <w:rFonts w:ascii="Arial" w:hAnsi="Arial" w:cs="Arial"/>
          <w:b/>
          <w:bCs/>
          <w:snapToGrid/>
          <w:sz w:val="18"/>
          <w:szCs w:val="18"/>
          <w:lang w:val="es-ES" w:eastAsia="es-MX"/>
        </w:rPr>
      </w:pPr>
      <w:r w:rsidRPr="0042168D">
        <w:rPr>
          <w:rFonts w:ascii="Arial" w:hAnsi="Arial" w:cs="Arial"/>
          <w:b/>
          <w:bCs/>
          <w:snapToGrid/>
          <w:sz w:val="22"/>
          <w:szCs w:val="22"/>
          <w:lang w:val="es-ES" w:eastAsia="es-MX"/>
        </w:rPr>
        <w:t>I</w:t>
      </w:r>
      <w:r w:rsidRPr="0042168D">
        <w:rPr>
          <w:rFonts w:ascii="Arial" w:hAnsi="Arial" w:cs="Arial"/>
          <w:b/>
          <w:bCs/>
          <w:snapToGrid/>
          <w:sz w:val="18"/>
          <w:szCs w:val="18"/>
          <w:lang w:val="es-ES" w:eastAsia="es-MX"/>
        </w:rPr>
        <w:t xml:space="preserve">NDICADOR </w:t>
      </w:r>
      <w:r w:rsidRPr="0042168D">
        <w:rPr>
          <w:rFonts w:ascii="Arial" w:hAnsi="Arial" w:cs="Arial"/>
          <w:b/>
          <w:bCs/>
          <w:snapToGrid/>
          <w:sz w:val="22"/>
          <w:szCs w:val="22"/>
          <w:lang w:val="es-ES" w:eastAsia="es-MX"/>
        </w:rPr>
        <w:t>T</w:t>
      </w:r>
      <w:r w:rsidRPr="0042168D">
        <w:rPr>
          <w:rFonts w:ascii="Arial" w:hAnsi="Arial" w:cs="Arial"/>
          <w:b/>
          <w:bCs/>
          <w:snapToGrid/>
          <w:sz w:val="18"/>
          <w:szCs w:val="18"/>
          <w:lang w:val="es-ES" w:eastAsia="es-MX"/>
        </w:rPr>
        <w:t xml:space="preserve">RIMESTRAL DE LA </w:t>
      </w:r>
      <w:r w:rsidRPr="0042168D">
        <w:rPr>
          <w:rFonts w:ascii="Arial" w:hAnsi="Arial" w:cs="Arial"/>
          <w:b/>
          <w:bCs/>
          <w:snapToGrid/>
          <w:sz w:val="22"/>
          <w:szCs w:val="22"/>
          <w:lang w:val="es-ES" w:eastAsia="es-MX"/>
        </w:rPr>
        <w:t>A</w:t>
      </w:r>
      <w:r w:rsidRPr="0042168D">
        <w:rPr>
          <w:rFonts w:ascii="Arial" w:hAnsi="Arial" w:cs="Arial"/>
          <w:b/>
          <w:bCs/>
          <w:snapToGrid/>
          <w:sz w:val="18"/>
          <w:szCs w:val="18"/>
          <w:lang w:val="es-ES" w:eastAsia="es-MX"/>
        </w:rPr>
        <w:t xml:space="preserve">CTIVIDAD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 xml:space="preserve">CONÓMICA </w:t>
      </w:r>
      <w:r w:rsidRPr="0042168D">
        <w:rPr>
          <w:rFonts w:ascii="Arial" w:hAnsi="Arial" w:cs="Arial"/>
          <w:b/>
          <w:bCs/>
          <w:snapToGrid/>
          <w:sz w:val="22"/>
          <w:szCs w:val="22"/>
          <w:lang w:val="es-ES" w:eastAsia="es-MX"/>
        </w:rPr>
        <w:t>E</w:t>
      </w:r>
      <w:r w:rsidRPr="0042168D">
        <w:rPr>
          <w:rFonts w:ascii="Arial" w:hAnsi="Arial" w:cs="Arial"/>
          <w:b/>
          <w:bCs/>
          <w:snapToGrid/>
          <w:sz w:val="18"/>
          <w:szCs w:val="18"/>
          <w:lang w:val="es-ES" w:eastAsia="es-MX"/>
        </w:rPr>
        <w:t>STATAL</w:t>
      </w:r>
    </w:p>
    <w:p w14:paraId="1E5D5330" w14:textId="77777777" w:rsidR="004A6216" w:rsidRDefault="004A6216" w:rsidP="004A6216">
      <w:pPr>
        <w:jc w:val="center"/>
        <w:rPr>
          <w:rFonts w:ascii="Arial" w:hAnsi="Arial" w:cs="Arial"/>
          <w:b/>
          <w:bCs/>
          <w:snapToGrid/>
          <w:sz w:val="18"/>
          <w:szCs w:val="18"/>
          <w:lang w:val="es-ES" w:eastAsia="es-MX"/>
        </w:rPr>
      </w:pPr>
      <w:r>
        <w:rPr>
          <w:rFonts w:ascii="Arial" w:hAnsi="Arial" w:cs="Arial"/>
          <w:b/>
          <w:bCs/>
          <w:snapToGrid/>
          <w:sz w:val="18"/>
          <w:szCs w:val="18"/>
          <w:lang w:val="es-ES" w:eastAsia="es-MX"/>
        </w:rPr>
        <w:t>TOTAL DE LA ECONOMÍA</w:t>
      </w:r>
    </w:p>
    <w:tbl>
      <w:tblPr>
        <w:tblW w:w="9356" w:type="dxa"/>
        <w:tblInd w:w="108" w:type="dxa"/>
        <w:tblLook w:val="04A0" w:firstRow="1" w:lastRow="0" w:firstColumn="1" w:lastColumn="0" w:noHBand="0" w:noVBand="1"/>
      </w:tblPr>
      <w:tblGrid>
        <w:gridCol w:w="4678"/>
        <w:gridCol w:w="4678"/>
      </w:tblGrid>
      <w:tr w:rsidR="004A6216" w14:paraId="6CCB0A33" w14:textId="77777777" w:rsidTr="009A41CD">
        <w:tc>
          <w:tcPr>
            <w:tcW w:w="4678" w:type="dxa"/>
            <w:shd w:val="clear" w:color="auto" w:fill="auto"/>
          </w:tcPr>
          <w:p w14:paraId="7D4D1D5E" w14:textId="77777777" w:rsidR="004A6216" w:rsidRPr="003B1968" w:rsidRDefault="004A6216" w:rsidP="009A41CD">
            <w:pPr>
              <w:ind w:right="175"/>
              <w:jc w:val="center"/>
              <w:rPr>
                <w:rFonts w:ascii="Arial" w:hAnsi="Arial" w:cs="Arial"/>
                <w:b/>
                <w:snapToGrid/>
                <w:sz w:val="16"/>
                <w:szCs w:val="16"/>
                <w:lang w:val="es-ES" w:eastAsia="es-MX"/>
              </w:rPr>
            </w:pPr>
            <w:r w:rsidRPr="00815078">
              <w:rPr>
                <w:rFonts w:ascii="Arial" w:hAnsi="Arial" w:cs="Arial"/>
                <w:b/>
                <w:snapToGrid/>
                <w:sz w:val="16"/>
                <w:szCs w:val="16"/>
                <w:lang w:val="es-ES" w:eastAsia="es-MX"/>
              </w:rPr>
              <w:t xml:space="preserve">(Variación porcentual </w:t>
            </w:r>
            <w:r>
              <w:rPr>
                <w:rFonts w:ascii="Arial" w:hAnsi="Arial" w:cs="Arial"/>
                <w:b/>
                <w:snapToGrid/>
                <w:sz w:val="16"/>
                <w:szCs w:val="16"/>
                <w:lang w:val="es-ES" w:eastAsia="es-MX"/>
              </w:rPr>
              <w:t>real con respecto</w:t>
            </w:r>
            <w:r w:rsidRPr="00815078">
              <w:rPr>
                <w:rFonts w:ascii="Arial" w:hAnsi="Arial" w:cs="Arial"/>
                <w:b/>
                <w:snapToGrid/>
                <w:sz w:val="16"/>
                <w:szCs w:val="16"/>
                <w:lang w:val="es-ES" w:eastAsia="es-MX"/>
              </w:rPr>
              <w:t xml:space="preserve"> al mismo periodo</w:t>
            </w:r>
            <w:r>
              <w:rPr>
                <w:rFonts w:ascii="Arial" w:hAnsi="Arial" w:cs="Arial"/>
                <w:b/>
                <w:snapToGrid/>
                <w:sz w:val="16"/>
                <w:szCs w:val="16"/>
                <w:lang w:val="es-ES" w:eastAsia="es-MX"/>
              </w:rPr>
              <w:t xml:space="preserve"> </w:t>
            </w:r>
            <w:r w:rsidRPr="00815078">
              <w:rPr>
                <w:rFonts w:ascii="Arial" w:hAnsi="Arial" w:cs="Arial"/>
                <w:b/>
                <w:snapToGrid/>
                <w:sz w:val="16"/>
                <w:szCs w:val="16"/>
                <w:lang w:val="es-ES" w:eastAsia="es-MX"/>
              </w:rPr>
              <w:t>del año anterior)</w:t>
            </w:r>
          </w:p>
        </w:tc>
        <w:tc>
          <w:tcPr>
            <w:tcW w:w="4678" w:type="dxa"/>
            <w:shd w:val="clear" w:color="auto" w:fill="auto"/>
            <w:vAlign w:val="center"/>
          </w:tcPr>
          <w:p w14:paraId="126CA38D" w14:textId="77777777" w:rsidR="004A6216" w:rsidRPr="00815078" w:rsidRDefault="004A6216" w:rsidP="009A41CD">
            <w:pPr>
              <w:ind w:left="-250" w:right="317"/>
              <w:jc w:val="center"/>
              <w:rPr>
                <w:rFonts w:ascii="Arial" w:hAnsi="Arial" w:cs="Arial"/>
                <w:snapToGrid/>
                <w:sz w:val="18"/>
                <w:szCs w:val="18"/>
                <w:lang w:val="es-ES" w:eastAsia="es-MX"/>
              </w:rPr>
            </w:pPr>
            <w:r w:rsidRPr="00815078">
              <w:rPr>
                <w:rFonts w:ascii="Arial" w:hAnsi="Arial" w:cs="Arial"/>
                <w:b/>
                <w:snapToGrid/>
                <w:sz w:val="16"/>
                <w:szCs w:val="16"/>
                <w:lang w:val="es-ES" w:eastAsia="es-MX"/>
              </w:rPr>
              <w:t>(Contribución porcentual al crecimiento nacional)</w:t>
            </w:r>
            <w:r w:rsidRPr="0088722F">
              <w:rPr>
                <w:rFonts w:ascii="Arial" w:hAnsi="Arial" w:cs="Arial"/>
                <w:b/>
                <w:vertAlign w:val="superscript"/>
              </w:rPr>
              <w:t>1/</w:t>
            </w:r>
          </w:p>
        </w:tc>
      </w:tr>
    </w:tbl>
    <w:p w14:paraId="44532649" w14:textId="77777777" w:rsidR="004A6216" w:rsidRDefault="00AE5E9E" w:rsidP="004A6216">
      <w:pPr>
        <w:jc w:val="center"/>
        <w:rPr>
          <w:szCs w:val="24"/>
        </w:rPr>
      </w:pPr>
      <w:r w:rsidRPr="00AE5E9E">
        <w:rPr>
          <w:noProof/>
          <w:lang w:val="es-MX" w:eastAsia="es-MX"/>
        </w:rPr>
        <w:lastRenderedPageBreak/>
        <w:drawing>
          <wp:inline distT="0" distB="0" distL="0" distR="0" wp14:anchorId="614B26FF" wp14:editId="1B23F9E7">
            <wp:extent cx="6105600" cy="4680000"/>
            <wp:effectExtent l="0" t="0" r="952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5600" cy="4680000"/>
                    </a:xfrm>
                    <a:prstGeom prst="rect">
                      <a:avLst/>
                    </a:prstGeom>
                    <a:noFill/>
                    <a:ln>
                      <a:noFill/>
                    </a:ln>
                  </pic:spPr>
                </pic:pic>
              </a:graphicData>
            </a:graphic>
          </wp:inline>
        </w:drawing>
      </w:r>
    </w:p>
    <w:p w14:paraId="44F09DC1" w14:textId="77777777" w:rsidR="004A6216" w:rsidRDefault="004A6216" w:rsidP="004A6216">
      <w:pPr>
        <w:jc w:val="both"/>
        <w:rPr>
          <w:rFonts w:ascii="Arial" w:hAnsi="Arial" w:cs="Arial"/>
          <w:sz w:val="16"/>
          <w:szCs w:val="16"/>
        </w:rPr>
      </w:pPr>
      <w:r w:rsidRPr="0088722F">
        <w:rPr>
          <w:rFonts w:ascii="Arial" w:hAnsi="Arial" w:cs="Arial"/>
          <w:b/>
          <w:vertAlign w:val="superscript"/>
        </w:rPr>
        <w:t>1/</w:t>
      </w:r>
      <w:r w:rsidRPr="003330D0">
        <w:rPr>
          <w:rFonts w:ascii="Arial" w:hAnsi="Arial" w:cs="Arial"/>
          <w:sz w:val="16"/>
          <w:szCs w:val="16"/>
        </w:rPr>
        <w:t xml:space="preserve"> La suma de los parciales puede no coincidir con el total, debido al redondeo</w:t>
      </w:r>
    </w:p>
    <w:p w14:paraId="5DE0C9C8" w14:textId="77777777" w:rsidR="004A6216" w:rsidRDefault="004A6216" w:rsidP="004A6216">
      <w:pPr>
        <w:jc w:val="both"/>
        <w:rPr>
          <w:rFonts w:ascii="Arial" w:hAnsi="Arial" w:cs="Arial"/>
          <w:snapToGrid/>
          <w:sz w:val="16"/>
          <w:szCs w:val="16"/>
        </w:rPr>
      </w:pPr>
      <w:r>
        <w:rPr>
          <w:rFonts w:ascii="Arial" w:hAnsi="Arial" w:cs="Arial"/>
          <w:sz w:val="16"/>
          <w:szCs w:val="16"/>
        </w:rPr>
        <w:t>p/ Cifras preliminares</w:t>
      </w:r>
    </w:p>
    <w:p w14:paraId="13A9E13D" w14:textId="77777777" w:rsidR="004A6216" w:rsidRPr="003330D0" w:rsidRDefault="004A6216" w:rsidP="004A6216">
      <w:pPr>
        <w:rPr>
          <w:rFonts w:ascii="Arial" w:hAnsi="Arial" w:cs="Arial"/>
          <w:snapToGrid/>
          <w:sz w:val="24"/>
          <w:szCs w:val="24"/>
          <w:lang w:val="es-ES" w:eastAsia="es-MX"/>
        </w:rPr>
      </w:pPr>
      <w:r w:rsidRPr="00632F32">
        <w:rPr>
          <w:rFonts w:ascii="Arial" w:hAnsi="Arial" w:cs="Arial"/>
          <w:snapToGrid/>
          <w:sz w:val="16"/>
          <w:szCs w:val="16"/>
          <w:lang w:val="es-ES" w:eastAsia="es-MX"/>
        </w:rPr>
        <w:t>Fuente:</w:t>
      </w:r>
      <w:r>
        <w:rPr>
          <w:rFonts w:ascii="Arial" w:hAnsi="Arial" w:cs="Arial"/>
          <w:snapToGrid/>
          <w:sz w:val="16"/>
          <w:szCs w:val="16"/>
          <w:lang w:val="es-ES" w:eastAsia="es-MX"/>
        </w:rPr>
        <w:t xml:space="preserve"> </w:t>
      </w:r>
      <w:r w:rsidRPr="00632F32">
        <w:rPr>
          <w:rFonts w:ascii="Arial" w:hAnsi="Arial" w:cs="Arial"/>
          <w:snapToGrid/>
          <w:sz w:val="16"/>
          <w:szCs w:val="16"/>
          <w:lang w:val="es-ES" w:eastAsia="es-MX"/>
        </w:rPr>
        <w:t>INEGI</w:t>
      </w:r>
    </w:p>
    <w:p w14:paraId="7732A3FE" w14:textId="77777777" w:rsidR="00192A7D" w:rsidRDefault="004A6216" w:rsidP="00192A7D">
      <w:pPr>
        <w:tabs>
          <w:tab w:val="num" w:pos="1843"/>
          <w:tab w:val="left" w:pos="7939"/>
        </w:tabs>
        <w:ind w:right="51"/>
        <w:jc w:val="both"/>
        <w:rPr>
          <w:rFonts w:ascii="Arial" w:hAnsi="Arial" w:cs="Arial"/>
          <w:b/>
          <w:smallCaps/>
          <w:snapToGrid/>
          <w:sz w:val="24"/>
          <w:szCs w:val="24"/>
        </w:rPr>
      </w:pPr>
      <w:r>
        <w:br w:type="page"/>
      </w:r>
    </w:p>
    <w:p w14:paraId="6CCA485F" w14:textId="77777777" w:rsidR="00192A7D" w:rsidRDefault="00192A7D" w:rsidP="00192A7D">
      <w:pPr>
        <w:tabs>
          <w:tab w:val="num" w:pos="1843"/>
          <w:tab w:val="left" w:pos="7939"/>
        </w:tabs>
        <w:ind w:right="51"/>
        <w:jc w:val="both"/>
        <w:rPr>
          <w:rFonts w:ascii="Arial" w:hAnsi="Arial" w:cs="Arial"/>
          <w:b/>
          <w:smallCaps/>
          <w:sz w:val="24"/>
          <w:szCs w:val="24"/>
        </w:rPr>
      </w:pPr>
    </w:p>
    <w:p w14:paraId="27476384" w14:textId="77777777" w:rsidR="000A648D" w:rsidRDefault="000A648D" w:rsidP="000A648D">
      <w:pPr>
        <w:tabs>
          <w:tab w:val="num" w:pos="1843"/>
          <w:tab w:val="left" w:pos="7939"/>
        </w:tabs>
        <w:ind w:right="51"/>
        <w:jc w:val="both"/>
        <w:rPr>
          <w:rFonts w:ascii="Arial" w:hAnsi="Arial" w:cs="Arial"/>
          <w:b/>
          <w:smallCaps/>
          <w:snapToGrid/>
          <w:sz w:val="24"/>
          <w:szCs w:val="24"/>
        </w:rPr>
      </w:pPr>
      <w:r>
        <w:rPr>
          <w:rFonts w:ascii="Arial" w:hAnsi="Arial" w:cs="Arial"/>
          <w:b/>
          <w:smallCaps/>
          <w:sz w:val="24"/>
          <w:szCs w:val="24"/>
        </w:rPr>
        <w:t>Análisis Regional</w:t>
      </w:r>
    </w:p>
    <w:p w14:paraId="78C1944B" w14:textId="77777777" w:rsidR="000A648D" w:rsidRDefault="000A648D" w:rsidP="000A648D">
      <w:pPr>
        <w:tabs>
          <w:tab w:val="num" w:pos="1843"/>
          <w:tab w:val="left" w:pos="7939"/>
        </w:tabs>
        <w:ind w:right="51"/>
        <w:jc w:val="both"/>
        <w:rPr>
          <w:rFonts w:ascii="Arial" w:hAnsi="Arial" w:cs="Arial"/>
          <w:b/>
          <w:smallCaps/>
        </w:rPr>
      </w:pPr>
    </w:p>
    <w:p w14:paraId="3562FD2E" w14:textId="77777777" w:rsidR="000A648D" w:rsidRDefault="000A648D" w:rsidP="000A648D">
      <w:pPr>
        <w:tabs>
          <w:tab w:val="num" w:pos="1843"/>
          <w:tab w:val="left" w:pos="7939"/>
        </w:tabs>
        <w:ind w:right="51"/>
        <w:jc w:val="both"/>
        <w:rPr>
          <w:rFonts w:ascii="Arial" w:hAnsi="Arial" w:cs="Arial"/>
          <w:b/>
          <w:smallCaps/>
          <w:sz w:val="24"/>
          <w:szCs w:val="24"/>
        </w:rPr>
      </w:pPr>
      <w:r>
        <w:rPr>
          <w:rFonts w:ascii="Arial" w:hAnsi="Arial" w:cs="Arial"/>
          <w:b/>
          <w:smallCaps/>
          <w:sz w:val="24"/>
          <w:szCs w:val="24"/>
        </w:rPr>
        <w:t>Región Centro-Sur</w:t>
      </w:r>
    </w:p>
    <w:p w14:paraId="319791F9" w14:textId="77777777" w:rsidR="000A648D" w:rsidRDefault="000A648D" w:rsidP="000A648D">
      <w:pPr>
        <w:jc w:val="both"/>
        <w:rPr>
          <w:noProof/>
          <w:lang w:val="es-MX" w:eastAsia="es-MX"/>
        </w:rPr>
      </w:pPr>
      <w:r>
        <w:rPr>
          <w:noProof/>
          <w:lang w:val="es-MX" w:eastAsia="es-MX"/>
        </w:rPr>
        <mc:AlternateContent>
          <mc:Choice Requires="wps">
            <w:drawing>
              <wp:anchor distT="0" distB="0" distL="114300" distR="114300" simplePos="0" relativeHeight="251662336" behindDoc="0" locked="0" layoutInCell="1" allowOverlap="1" wp14:anchorId="4E36D0A9" wp14:editId="27EFB0A6">
                <wp:simplePos x="0" y="0"/>
                <wp:positionH relativeFrom="column">
                  <wp:posOffset>-3810</wp:posOffset>
                </wp:positionH>
                <wp:positionV relativeFrom="paragraph">
                  <wp:posOffset>57785</wp:posOffset>
                </wp:positionV>
                <wp:extent cx="5850255" cy="321945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9CB1" w14:textId="77777777" w:rsidR="000A648D" w:rsidRDefault="000A648D" w:rsidP="000A648D">
                            <w:pPr>
                              <w:jc w:val="both"/>
                              <w:rPr>
                                <w:rFonts w:ascii="Arial" w:hAnsi="Arial" w:cs="Arial"/>
                                <w:sz w:val="24"/>
                                <w:szCs w:val="24"/>
                                <w:lang w:val="es-ES"/>
                              </w:rPr>
                            </w:pPr>
                            <w:r>
                              <w:rPr>
                                <w:rFonts w:ascii="Arial" w:hAnsi="Arial" w:cs="Arial"/>
                                <w:sz w:val="24"/>
                                <w:szCs w:val="24"/>
                                <w:lang w:val="es-ES"/>
                              </w:rPr>
                              <w:t>Guerrero, Hidalgo, Michoacán de Ocampo, Morelos, Puebla, Querétaro y Tlaxcala conforman la Región Centro-Sur del país, la cual aportó el 12.9% al total de la economía y contribuyó con 0.3 puntos porcentuales al crecimiento nacional, en el primer trimestre de 2019.</w:t>
                            </w:r>
                          </w:p>
                          <w:p w14:paraId="1B27F810" w14:textId="77777777" w:rsidR="000A648D" w:rsidRDefault="000A648D" w:rsidP="000A648D">
                            <w:pPr>
                              <w:rPr>
                                <w:rFonts w:ascii="Arial" w:hAnsi="Arial" w:cs="Arial"/>
                                <w:lang w:val="es-ES"/>
                              </w:rPr>
                            </w:pPr>
                          </w:p>
                          <w:tbl>
                            <w:tblPr>
                              <w:tblW w:w="0" w:type="auto"/>
                              <w:tblInd w:w="108" w:type="dxa"/>
                              <w:tblLook w:val="04A0" w:firstRow="1" w:lastRow="0" w:firstColumn="1" w:lastColumn="0" w:noHBand="0" w:noVBand="1"/>
                            </w:tblPr>
                            <w:tblGrid>
                              <w:gridCol w:w="4953"/>
                              <w:gridCol w:w="3864"/>
                            </w:tblGrid>
                            <w:tr w:rsidR="000A648D" w14:paraId="319500B6" w14:textId="77777777">
                              <w:tc>
                                <w:tcPr>
                                  <w:tcW w:w="4953" w:type="dxa"/>
                                  <w:hideMark/>
                                </w:tcPr>
                                <w:p w14:paraId="67643568" w14:textId="77777777" w:rsidR="000A648D" w:rsidRDefault="000A648D">
                                  <w:pPr>
                                    <w:rPr>
                                      <w:rFonts w:ascii="Arial" w:hAnsi="Arial" w:cs="Arial"/>
                                      <w:b/>
                                      <w:sz w:val="16"/>
                                      <w:szCs w:val="16"/>
                                      <w:lang w:val="es-ES" w:eastAsia="es-MX"/>
                                    </w:rPr>
                                  </w:pPr>
                                  <w:r>
                                    <w:rPr>
                                      <w:rFonts w:ascii="Arial" w:hAnsi="Arial" w:cs="Arial"/>
                                      <w:b/>
                                      <w:sz w:val="16"/>
                                      <w:szCs w:val="16"/>
                                      <w:lang w:val="es-ES" w:eastAsia="es-MX"/>
                                    </w:rPr>
                                    <w:t>Cuadro 3</w:t>
                                  </w:r>
                                </w:p>
                                <w:p w14:paraId="0A61CE72" w14:textId="77777777" w:rsidR="000A648D" w:rsidRDefault="000A648D">
                                  <w:pPr>
                                    <w:rPr>
                                      <w:rFonts w:ascii="Arial" w:hAnsi="Arial" w:cs="Arial"/>
                                      <w:b/>
                                      <w:sz w:val="16"/>
                                      <w:szCs w:val="16"/>
                                      <w:lang w:val="es-ES" w:eastAsia="es-MX"/>
                                    </w:rPr>
                                  </w:pPr>
                                  <w:r>
                                    <w:rPr>
                                      <w:rFonts w:ascii="Arial" w:hAnsi="Arial" w:cs="Arial"/>
                                      <w:b/>
                                      <w:sz w:val="16"/>
                                      <w:szCs w:val="16"/>
                                      <w:lang w:val="es-ES" w:eastAsia="es-MX"/>
                                    </w:rPr>
                                    <w:t xml:space="preserve">Participación porcentual de las regiones </w:t>
                                  </w:r>
                                </w:p>
                                <w:p w14:paraId="6539A1F6" w14:textId="77777777" w:rsidR="000A648D" w:rsidRDefault="000A648D">
                                  <w:pPr>
                                    <w:rPr>
                                      <w:rFonts w:ascii="Arial" w:hAnsi="Arial" w:cs="Arial"/>
                                      <w:sz w:val="16"/>
                                      <w:szCs w:val="16"/>
                                      <w:lang w:val="es-ES"/>
                                    </w:rPr>
                                  </w:pPr>
                                  <w:r>
                                    <w:rPr>
                                      <w:rFonts w:ascii="Arial" w:hAnsi="Arial" w:cs="Arial"/>
                                      <w:b/>
                                      <w:sz w:val="16"/>
                                      <w:szCs w:val="16"/>
                                      <w:lang w:val="es-ES" w:eastAsia="es-MX"/>
                                    </w:rPr>
                                    <w:t>con respecto al total nacional</w:t>
                                  </w:r>
                                </w:p>
                              </w:tc>
                              <w:tc>
                                <w:tcPr>
                                  <w:tcW w:w="3864" w:type="dxa"/>
                                  <w:vAlign w:val="bottom"/>
                                  <w:hideMark/>
                                </w:tcPr>
                                <w:p w14:paraId="6F073D32" w14:textId="77777777" w:rsidR="000A648D" w:rsidRDefault="000A648D">
                                  <w:pPr>
                                    <w:ind w:left="-108"/>
                                    <w:rPr>
                                      <w:rFonts w:ascii="Arial" w:hAnsi="Arial" w:cs="Arial"/>
                                      <w:b/>
                                      <w:sz w:val="16"/>
                                      <w:szCs w:val="16"/>
                                      <w:lang w:val="es-ES" w:eastAsia="es-MX"/>
                                    </w:rPr>
                                  </w:pPr>
                                  <w:r>
                                    <w:rPr>
                                      <w:rFonts w:ascii="Arial" w:hAnsi="Arial" w:cs="Arial"/>
                                      <w:b/>
                                      <w:sz w:val="16"/>
                                      <w:szCs w:val="16"/>
                                      <w:lang w:val="es-ES" w:eastAsia="es-MX"/>
                                    </w:rPr>
                                    <w:t>Cuadro 4</w:t>
                                  </w:r>
                                </w:p>
                                <w:p w14:paraId="03C39769" w14:textId="77777777" w:rsidR="000A648D" w:rsidRDefault="000A648D">
                                  <w:pPr>
                                    <w:ind w:left="-108"/>
                                    <w:rPr>
                                      <w:rFonts w:ascii="Arial" w:hAnsi="Arial" w:cs="Arial"/>
                                      <w:b/>
                                      <w:sz w:val="16"/>
                                      <w:szCs w:val="16"/>
                                      <w:lang w:val="es-ES" w:eastAsia="es-MX"/>
                                    </w:rPr>
                                  </w:pPr>
                                  <w:r>
                                    <w:rPr>
                                      <w:rFonts w:ascii="Arial" w:hAnsi="Arial" w:cs="Arial"/>
                                      <w:b/>
                                      <w:sz w:val="16"/>
                                      <w:szCs w:val="16"/>
                                      <w:lang w:val="es-ES" w:eastAsia="es-MX"/>
                                    </w:rPr>
                                    <w:t xml:space="preserve">Contribución porcentual de las regiones </w:t>
                                  </w:r>
                                </w:p>
                                <w:p w14:paraId="01944E85" w14:textId="77777777" w:rsidR="000A648D" w:rsidRDefault="000A648D">
                                  <w:pPr>
                                    <w:ind w:left="-108"/>
                                    <w:rPr>
                                      <w:rFonts w:ascii="Arial" w:hAnsi="Arial" w:cs="Arial"/>
                                      <w:sz w:val="16"/>
                                      <w:szCs w:val="16"/>
                                      <w:lang w:val="es-ES"/>
                                    </w:rPr>
                                  </w:pPr>
                                  <w:r>
                                    <w:rPr>
                                      <w:rFonts w:ascii="Arial" w:hAnsi="Arial" w:cs="Arial"/>
                                      <w:b/>
                                      <w:sz w:val="16"/>
                                      <w:szCs w:val="16"/>
                                      <w:lang w:val="es-ES" w:eastAsia="es-MX"/>
                                    </w:rPr>
                                    <w:t>con respecto a la variación nacional</w:t>
                                  </w:r>
                                </w:p>
                              </w:tc>
                            </w:tr>
                          </w:tbl>
                          <w:p w14:paraId="3C490908" w14:textId="77777777" w:rsidR="000A648D" w:rsidRDefault="000A648D" w:rsidP="000A648D">
                            <w:pPr>
                              <w:rPr>
                                <w:rFonts w:ascii="Arial" w:hAnsi="Arial" w:cs="Arial"/>
                                <w:sz w:val="24"/>
                                <w:szCs w:val="24"/>
                                <w:lang w:val="es-ES"/>
                              </w:rPr>
                            </w:pPr>
                            <w:r>
                              <w:rPr>
                                <w:noProof/>
                                <w:lang w:val="es-MX" w:eastAsia="es-MX"/>
                              </w:rPr>
                              <w:drawing>
                                <wp:inline distT="0" distB="0" distL="0" distR="0" wp14:anchorId="5CDEC705" wp14:editId="6985E002">
                                  <wp:extent cx="2343150" cy="1438275"/>
                                  <wp:effectExtent l="0" t="0" r="0" b="9525"/>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r>
                              <w:rPr>
                                <w:rFonts w:ascii="Arial" w:hAnsi="Arial" w:cs="Arial"/>
                                <w:sz w:val="24"/>
                                <w:szCs w:val="24"/>
                                <w:lang w:val="es-ES"/>
                              </w:rPr>
                              <w:t xml:space="preserve">                  </w:t>
                            </w:r>
                            <w:r>
                              <w:rPr>
                                <w:noProof/>
                                <w:lang w:val="es-MX" w:eastAsia="es-MX"/>
                              </w:rPr>
                              <w:drawing>
                                <wp:inline distT="0" distB="0" distL="0" distR="0" wp14:anchorId="4FEF9AB8" wp14:editId="360F778F">
                                  <wp:extent cx="2343150" cy="1438275"/>
                                  <wp:effectExtent l="0" t="0" r="0" b="9525"/>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tbl>
                            <w:tblPr>
                              <w:tblW w:w="9464" w:type="dxa"/>
                              <w:tblLook w:val="04A0" w:firstRow="1" w:lastRow="0" w:firstColumn="1" w:lastColumn="0" w:noHBand="0" w:noVBand="1"/>
                            </w:tblPr>
                            <w:tblGrid>
                              <w:gridCol w:w="4820"/>
                              <w:gridCol w:w="4644"/>
                            </w:tblGrid>
                            <w:tr w:rsidR="000A648D" w14:paraId="434745B3" w14:textId="77777777">
                              <w:tc>
                                <w:tcPr>
                                  <w:tcW w:w="4820" w:type="dxa"/>
                                </w:tcPr>
                                <w:p w14:paraId="58EC3EC0" w14:textId="77777777" w:rsidR="000A648D" w:rsidRDefault="000A648D">
                                  <w:pPr>
                                    <w:ind w:left="-108"/>
                                    <w:rPr>
                                      <w:rFonts w:ascii="Arial" w:hAnsi="Arial" w:cs="Arial"/>
                                      <w:sz w:val="16"/>
                                      <w:szCs w:val="16"/>
                                    </w:rPr>
                                  </w:pPr>
                                  <w:r>
                                    <w:rPr>
                                      <w:rFonts w:ascii="Arial" w:hAnsi="Arial" w:cs="Arial"/>
                                      <w:sz w:val="16"/>
                                      <w:szCs w:val="16"/>
                                    </w:rPr>
                                    <w:t xml:space="preserve">  p/ Cifras preliminares</w:t>
                                  </w:r>
                                </w:p>
                                <w:p w14:paraId="7A302ECD" w14:textId="77777777" w:rsidR="000A648D" w:rsidRDefault="000A648D">
                                  <w:pPr>
                                    <w:ind w:left="-108"/>
                                    <w:rPr>
                                      <w:rFonts w:ascii="Arial" w:hAnsi="Arial" w:cs="Arial"/>
                                      <w:sz w:val="16"/>
                                      <w:szCs w:val="16"/>
                                    </w:rPr>
                                  </w:pPr>
                                  <w:r>
                                    <w:rPr>
                                      <w:rFonts w:ascii="Arial" w:hAnsi="Arial" w:cs="Arial"/>
                                      <w:sz w:val="16"/>
                                      <w:szCs w:val="16"/>
                                    </w:rPr>
                                    <w:t xml:space="preserve">  Nota: La suma de los parciales puede no coincidir</w:t>
                                  </w:r>
                                </w:p>
                                <w:p w14:paraId="2580739F" w14:textId="77777777" w:rsidR="000A648D" w:rsidRDefault="000A648D">
                                  <w:pPr>
                                    <w:ind w:left="-108"/>
                                    <w:rPr>
                                      <w:rFonts w:ascii="Arial" w:hAnsi="Arial" w:cs="Arial"/>
                                      <w:sz w:val="16"/>
                                      <w:szCs w:val="16"/>
                                    </w:rPr>
                                  </w:pPr>
                                  <w:r>
                                    <w:rPr>
                                      <w:rFonts w:ascii="Arial" w:hAnsi="Arial" w:cs="Arial"/>
                                      <w:sz w:val="16"/>
                                      <w:szCs w:val="16"/>
                                    </w:rPr>
                                    <w:t xml:space="preserve">          con el total, debido al redondeo</w:t>
                                  </w:r>
                                </w:p>
                                <w:p w14:paraId="4BE06C0F" w14:textId="77777777" w:rsidR="000A648D" w:rsidRDefault="000A648D">
                                  <w:pPr>
                                    <w:ind w:left="-108"/>
                                    <w:rPr>
                                      <w:rFonts w:ascii="Arial" w:hAnsi="Arial" w:cs="Arial"/>
                                      <w:sz w:val="16"/>
                                      <w:szCs w:val="16"/>
                                    </w:rPr>
                                  </w:pPr>
                                  <w:r>
                                    <w:rPr>
                                      <w:rFonts w:ascii="Arial" w:hAnsi="Arial" w:cs="Arial"/>
                                      <w:sz w:val="16"/>
                                      <w:szCs w:val="16"/>
                                      <w:lang w:val="es-ES" w:eastAsia="es-MX"/>
                                    </w:rPr>
                                    <w:t xml:space="preserve">  Fuente: INEGI</w:t>
                                  </w:r>
                                </w:p>
                                <w:p w14:paraId="7B9E585B" w14:textId="77777777" w:rsidR="000A648D" w:rsidRDefault="000A648D">
                                  <w:pPr>
                                    <w:ind w:left="-108"/>
                                    <w:rPr>
                                      <w:rFonts w:ascii="Arial" w:hAnsi="Arial" w:cs="Arial"/>
                                      <w:sz w:val="16"/>
                                      <w:szCs w:val="16"/>
                                    </w:rPr>
                                  </w:pPr>
                                </w:p>
                                <w:p w14:paraId="04B0A442" w14:textId="77777777" w:rsidR="000A648D" w:rsidRDefault="000A648D">
                                  <w:pPr>
                                    <w:ind w:left="-108"/>
                                    <w:rPr>
                                      <w:rFonts w:ascii="Arial" w:hAnsi="Arial" w:cs="Arial"/>
                                      <w:sz w:val="16"/>
                                      <w:szCs w:val="16"/>
                                    </w:rPr>
                                  </w:pPr>
                                </w:p>
                                <w:p w14:paraId="079A1B92" w14:textId="77777777" w:rsidR="000A648D" w:rsidRDefault="000A648D">
                                  <w:pPr>
                                    <w:ind w:left="-108"/>
                                    <w:rPr>
                                      <w:rFonts w:ascii="Arial" w:hAnsi="Arial" w:cs="Arial"/>
                                      <w:sz w:val="16"/>
                                      <w:szCs w:val="16"/>
                                    </w:rPr>
                                  </w:pPr>
                                </w:p>
                              </w:tc>
                              <w:tc>
                                <w:tcPr>
                                  <w:tcW w:w="4644" w:type="dxa"/>
                                </w:tcPr>
                                <w:p w14:paraId="3E206E3B" w14:textId="77777777" w:rsidR="000A648D" w:rsidRDefault="000A648D">
                                  <w:pPr>
                                    <w:ind w:left="-108"/>
                                    <w:rPr>
                                      <w:rFonts w:ascii="Arial" w:hAnsi="Arial" w:cs="Arial"/>
                                      <w:sz w:val="16"/>
                                      <w:szCs w:val="16"/>
                                    </w:rPr>
                                  </w:pPr>
                                  <w:r>
                                    <w:rPr>
                                      <w:rFonts w:ascii="Arial" w:hAnsi="Arial" w:cs="Arial"/>
                                      <w:sz w:val="16"/>
                                      <w:szCs w:val="16"/>
                                    </w:rPr>
                                    <w:t xml:space="preserve">   p/ Cifras preliminares </w:t>
                                  </w:r>
                                </w:p>
                                <w:p w14:paraId="7D319E21" w14:textId="77777777" w:rsidR="000A648D" w:rsidRDefault="000A648D">
                                  <w:pPr>
                                    <w:ind w:left="-108"/>
                                    <w:rPr>
                                      <w:rFonts w:ascii="Arial" w:hAnsi="Arial" w:cs="Arial"/>
                                      <w:sz w:val="16"/>
                                      <w:szCs w:val="16"/>
                                    </w:rPr>
                                  </w:pPr>
                                  <w:r>
                                    <w:rPr>
                                      <w:rFonts w:ascii="Arial" w:hAnsi="Arial" w:cs="Arial"/>
                                      <w:sz w:val="16"/>
                                      <w:szCs w:val="16"/>
                                    </w:rPr>
                                    <w:t xml:space="preserve">   Nota: La suma de los parciales puede no coincidir </w:t>
                                  </w:r>
                                </w:p>
                                <w:p w14:paraId="738C49E0" w14:textId="77777777" w:rsidR="000A648D" w:rsidRDefault="000A648D">
                                  <w:pPr>
                                    <w:ind w:left="-108"/>
                                    <w:rPr>
                                      <w:rFonts w:ascii="Arial" w:hAnsi="Arial" w:cs="Arial"/>
                                      <w:sz w:val="16"/>
                                      <w:szCs w:val="16"/>
                                    </w:rPr>
                                  </w:pPr>
                                  <w:r>
                                    <w:rPr>
                                      <w:rFonts w:ascii="Arial" w:hAnsi="Arial" w:cs="Arial"/>
                                      <w:sz w:val="16"/>
                                      <w:szCs w:val="16"/>
                                    </w:rPr>
                                    <w:t xml:space="preserve">          con el total, debido al redondeo</w:t>
                                  </w:r>
                                </w:p>
                                <w:p w14:paraId="67FB1A2C" w14:textId="77777777" w:rsidR="000A648D" w:rsidRDefault="000A648D">
                                  <w:pPr>
                                    <w:ind w:left="-108"/>
                                    <w:rPr>
                                      <w:rFonts w:ascii="Arial" w:hAnsi="Arial" w:cs="Arial"/>
                                      <w:sz w:val="16"/>
                                      <w:szCs w:val="16"/>
                                    </w:rPr>
                                  </w:pPr>
                                  <w:r>
                                    <w:rPr>
                                      <w:rFonts w:ascii="Arial" w:hAnsi="Arial" w:cs="Arial"/>
                                      <w:sz w:val="16"/>
                                      <w:szCs w:val="16"/>
                                      <w:lang w:val="es-ES" w:eastAsia="es-MX"/>
                                    </w:rPr>
                                    <w:t xml:space="preserve">   Fuente: INEGI</w:t>
                                  </w:r>
                                </w:p>
                                <w:p w14:paraId="2727F74E" w14:textId="77777777" w:rsidR="000A648D" w:rsidRDefault="000A648D">
                                  <w:pPr>
                                    <w:ind w:left="-108"/>
                                    <w:rPr>
                                      <w:rFonts w:ascii="Arial" w:hAnsi="Arial" w:cs="Arial"/>
                                      <w:sz w:val="16"/>
                                      <w:szCs w:val="16"/>
                                    </w:rPr>
                                  </w:pPr>
                                </w:p>
                              </w:tc>
                            </w:tr>
                          </w:tbl>
                          <w:p w14:paraId="2049C01E" w14:textId="77777777" w:rsidR="000A648D" w:rsidRDefault="000A648D" w:rsidP="000A648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6D0A9" id="_x0000_t202" coordsize="21600,21600" o:spt="202" path="m,l,21600r21600,l21600,xe">
                <v:stroke joinstyle="miter"/>
                <v:path gradientshapeok="t" o:connecttype="rect"/>
              </v:shapetype>
              <v:shape id="Cuadro de texto 28" o:spid="_x0000_s1027" type="#_x0000_t202" style="position:absolute;left:0;text-align:left;margin-left:-.3pt;margin-top:4.55pt;width:460.6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" filled="f" stroked="f">
                <v:textbox>
                  <w:txbxContent>
                    <w:p w14:paraId="41209CB1" w14:textId="77777777" w:rsidR="000A648D" w:rsidRDefault="000A648D" w:rsidP="000A648D">
                      <w:pPr>
                        <w:jc w:val="both"/>
                        <w:rPr>
                          <w:rFonts w:ascii="Arial" w:hAnsi="Arial" w:cs="Arial"/>
                          <w:sz w:val="24"/>
                          <w:szCs w:val="24"/>
                          <w:lang w:val="es-ES"/>
                        </w:rPr>
                      </w:pPr>
                      <w:r>
                        <w:rPr>
                          <w:rFonts w:ascii="Arial" w:hAnsi="Arial" w:cs="Arial"/>
                          <w:sz w:val="24"/>
                          <w:szCs w:val="24"/>
                          <w:lang w:val="es-ES"/>
                        </w:rPr>
                        <w:t>Guerrero, Hidalgo, Michoacán de Ocampo, Morelos, Puebla, Querétaro y Tlaxcala conforman la Región Centro-Sur del país, la cual aportó el 12.9% al total de la economía y contribuyó con 0.3 puntos porcentuales al crecimiento nacional, en el primer trimestre de 2019.</w:t>
                      </w:r>
                    </w:p>
                    <w:p w14:paraId="1B27F810" w14:textId="77777777" w:rsidR="000A648D" w:rsidRDefault="000A648D" w:rsidP="000A648D">
                      <w:pPr>
                        <w:rPr>
                          <w:rFonts w:ascii="Arial" w:hAnsi="Arial" w:cs="Arial"/>
                          <w:lang w:val="es-ES"/>
                        </w:rPr>
                      </w:pPr>
                    </w:p>
                    <w:tbl>
                      <w:tblPr>
                        <w:tblW w:w="0" w:type="auto"/>
                        <w:tblInd w:w="108" w:type="dxa"/>
                        <w:tblLook w:val="04A0" w:firstRow="1" w:lastRow="0" w:firstColumn="1" w:lastColumn="0" w:noHBand="0" w:noVBand="1"/>
                      </w:tblPr>
                      <w:tblGrid>
                        <w:gridCol w:w="4953"/>
                        <w:gridCol w:w="3864"/>
                      </w:tblGrid>
                      <w:tr w:rsidR="000A648D" w14:paraId="319500B6" w14:textId="77777777">
                        <w:tc>
                          <w:tcPr>
                            <w:tcW w:w="4953" w:type="dxa"/>
                            <w:hideMark/>
                          </w:tcPr>
                          <w:p w14:paraId="67643568" w14:textId="77777777" w:rsidR="000A648D" w:rsidRDefault="000A648D">
                            <w:pPr>
                              <w:rPr>
                                <w:rFonts w:ascii="Arial" w:hAnsi="Arial" w:cs="Arial"/>
                                <w:b/>
                                <w:sz w:val="16"/>
                                <w:szCs w:val="16"/>
                                <w:lang w:val="es-ES" w:eastAsia="es-MX"/>
                              </w:rPr>
                            </w:pPr>
                            <w:r>
                              <w:rPr>
                                <w:rFonts w:ascii="Arial" w:hAnsi="Arial" w:cs="Arial"/>
                                <w:b/>
                                <w:sz w:val="16"/>
                                <w:szCs w:val="16"/>
                                <w:lang w:val="es-ES" w:eastAsia="es-MX"/>
                              </w:rPr>
                              <w:t>Cuadro 3</w:t>
                            </w:r>
                          </w:p>
                          <w:p w14:paraId="0A61CE72" w14:textId="77777777" w:rsidR="000A648D" w:rsidRDefault="000A648D">
                            <w:pPr>
                              <w:rPr>
                                <w:rFonts w:ascii="Arial" w:hAnsi="Arial" w:cs="Arial"/>
                                <w:b/>
                                <w:sz w:val="16"/>
                                <w:szCs w:val="16"/>
                                <w:lang w:val="es-ES" w:eastAsia="es-MX"/>
                              </w:rPr>
                            </w:pPr>
                            <w:r>
                              <w:rPr>
                                <w:rFonts w:ascii="Arial" w:hAnsi="Arial" w:cs="Arial"/>
                                <w:b/>
                                <w:sz w:val="16"/>
                                <w:szCs w:val="16"/>
                                <w:lang w:val="es-ES" w:eastAsia="es-MX"/>
                              </w:rPr>
                              <w:t xml:space="preserve">Participación porcentual de las regiones </w:t>
                            </w:r>
                          </w:p>
                          <w:p w14:paraId="6539A1F6" w14:textId="77777777" w:rsidR="000A648D" w:rsidRDefault="000A648D">
                            <w:pPr>
                              <w:rPr>
                                <w:rFonts w:ascii="Arial" w:hAnsi="Arial" w:cs="Arial"/>
                                <w:sz w:val="16"/>
                                <w:szCs w:val="16"/>
                                <w:lang w:val="es-ES"/>
                              </w:rPr>
                            </w:pPr>
                            <w:r>
                              <w:rPr>
                                <w:rFonts w:ascii="Arial" w:hAnsi="Arial" w:cs="Arial"/>
                                <w:b/>
                                <w:sz w:val="16"/>
                                <w:szCs w:val="16"/>
                                <w:lang w:val="es-ES" w:eastAsia="es-MX"/>
                              </w:rPr>
                              <w:t>con respecto al total nacional</w:t>
                            </w:r>
                          </w:p>
                        </w:tc>
                        <w:tc>
                          <w:tcPr>
                            <w:tcW w:w="3864" w:type="dxa"/>
                            <w:vAlign w:val="bottom"/>
                            <w:hideMark/>
                          </w:tcPr>
                          <w:p w14:paraId="6F073D32" w14:textId="77777777" w:rsidR="000A648D" w:rsidRDefault="000A648D">
                            <w:pPr>
                              <w:ind w:left="-108"/>
                              <w:rPr>
                                <w:rFonts w:ascii="Arial" w:hAnsi="Arial" w:cs="Arial"/>
                                <w:b/>
                                <w:sz w:val="16"/>
                                <w:szCs w:val="16"/>
                                <w:lang w:val="es-ES" w:eastAsia="es-MX"/>
                              </w:rPr>
                            </w:pPr>
                            <w:r>
                              <w:rPr>
                                <w:rFonts w:ascii="Arial" w:hAnsi="Arial" w:cs="Arial"/>
                                <w:b/>
                                <w:sz w:val="16"/>
                                <w:szCs w:val="16"/>
                                <w:lang w:val="es-ES" w:eastAsia="es-MX"/>
                              </w:rPr>
                              <w:t>Cuadro 4</w:t>
                            </w:r>
                          </w:p>
                          <w:p w14:paraId="03C39769" w14:textId="77777777" w:rsidR="000A648D" w:rsidRDefault="000A648D">
                            <w:pPr>
                              <w:ind w:left="-108"/>
                              <w:rPr>
                                <w:rFonts w:ascii="Arial" w:hAnsi="Arial" w:cs="Arial"/>
                                <w:b/>
                                <w:sz w:val="16"/>
                                <w:szCs w:val="16"/>
                                <w:lang w:val="es-ES" w:eastAsia="es-MX"/>
                              </w:rPr>
                            </w:pPr>
                            <w:r>
                              <w:rPr>
                                <w:rFonts w:ascii="Arial" w:hAnsi="Arial" w:cs="Arial"/>
                                <w:b/>
                                <w:sz w:val="16"/>
                                <w:szCs w:val="16"/>
                                <w:lang w:val="es-ES" w:eastAsia="es-MX"/>
                              </w:rPr>
                              <w:t xml:space="preserve">Contribución porcentual de las regiones </w:t>
                            </w:r>
                          </w:p>
                          <w:p w14:paraId="01944E85" w14:textId="77777777" w:rsidR="000A648D" w:rsidRDefault="000A648D">
                            <w:pPr>
                              <w:ind w:left="-108"/>
                              <w:rPr>
                                <w:rFonts w:ascii="Arial" w:hAnsi="Arial" w:cs="Arial"/>
                                <w:sz w:val="16"/>
                                <w:szCs w:val="16"/>
                                <w:lang w:val="es-ES"/>
                              </w:rPr>
                            </w:pPr>
                            <w:r>
                              <w:rPr>
                                <w:rFonts w:ascii="Arial" w:hAnsi="Arial" w:cs="Arial"/>
                                <w:b/>
                                <w:sz w:val="16"/>
                                <w:szCs w:val="16"/>
                                <w:lang w:val="es-ES" w:eastAsia="es-MX"/>
                              </w:rPr>
                              <w:t>con respecto a la variación nacional</w:t>
                            </w:r>
                          </w:p>
                        </w:tc>
                      </w:tr>
                    </w:tbl>
                    <w:p w14:paraId="3C490908" w14:textId="77777777" w:rsidR="000A648D" w:rsidRDefault="000A648D" w:rsidP="000A648D">
                      <w:pPr>
                        <w:rPr>
                          <w:rFonts w:ascii="Arial" w:hAnsi="Arial" w:cs="Arial"/>
                          <w:sz w:val="24"/>
                          <w:szCs w:val="24"/>
                          <w:lang w:val="es-ES"/>
                        </w:rPr>
                      </w:pPr>
                      <w:r>
                        <w:rPr>
                          <w:noProof/>
                          <w:lang w:val="es-MX" w:eastAsia="es-MX"/>
                        </w:rPr>
                        <w:drawing>
                          <wp:inline distT="0" distB="0" distL="0" distR="0" wp14:anchorId="5CDEC705" wp14:editId="6985E002">
                            <wp:extent cx="2343150" cy="1438275"/>
                            <wp:effectExtent l="0" t="0" r="0" b="9525"/>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r>
                        <w:rPr>
                          <w:rFonts w:ascii="Arial" w:hAnsi="Arial" w:cs="Arial"/>
                          <w:sz w:val="24"/>
                          <w:szCs w:val="24"/>
                          <w:lang w:val="es-ES"/>
                        </w:rPr>
                        <w:t xml:space="preserve">                  </w:t>
                      </w:r>
                      <w:r>
                        <w:rPr>
                          <w:noProof/>
                          <w:lang w:val="es-MX" w:eastAsia="es-MX"/>
                        </w:rPr>
                        <w:drawing>
                          <wp:inline distT="0" distB="0" distL="0" distR="0" wp14:anchorId="4FEF9AB8" wp14:editId="360F778F">
                            <wp:extent cx="2343150" cy="1438275"/>
                            <wp:effectExtent l="0" t="0" r="0" b="9525"/>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tbl>
                      <w:tblPr>
                        <w:tblW w:w="9464" w:type="dxa"/>
                        <w:tblLook w:val="04A0" w:firstRow="1" w:lastRow="0" w:firstColumn="1" w:lastColumn="0" w:noHBand="0" w:noVBand="1"/>
                      </w:tblPr>
                      <w:tblGrid>
                        <w:gridCol w:w="4820"/>
                        <w:gridCol w:w="4644"/>
                      </w:tblGrid>
                      <w:tr w:rsidR="000A648D" w14:paraId="434745B3" w14:textId="77777777">
                        <w:tc>
                          <w:tcPr>
                            <w:tcW w:w="4820" w:type="dxa"/>
                          </w:tcPr>
                          <w:p w14:paraId="58EC3EC0" w14:textId="77777777" w:rsidR="000A648D" w:rsidRDefault="000A648D">
                            <w:pPr>
                              <w:ind w:left="-108"/>
                              <w:rPr>
                                <w:rFonts w:ascii="Arial" w:hAnsi="Arial" w:cs="Arial"/>
                                <w:sz w:val="16"/>
                                <w:szCs w:val="16"/>
                              </w:rPr>
                            </w:pPr>
                            <w:r>
                              <w:rPr>
                                <w:rFonts w:ascii="Arial" w:hAnsi="Arial" w:cs="Arial"/>
                                <w:sz w:val="16"/>
                                <w:szCs w:val="16"/>
                              </w:rPr>
                              <w:t xml:space="preserve">  p/ Cifras preliminares</w:t>
                            </w:r>
                          </w:p>
                          <w:p w14:paraId="7A302ECD" w14:textId="77777777" w:rsidR="000A648D" w:rsidRDefault="000A648D">
                            <w:pPr>
                              <w:ind w:left="-108"/>
                              <w:rPr>
                                <w:rFonts w:ascii="Arial" w:hAnsi="Arial" w:cs="Arial"/>
                                <w:sz w:val="16"/>
                                <w:szCs w:val="16"/>
                              </w:rPr>
                            </w:pPr>
                            <w:r>
                              <w:rPr>
                                <w:rFonts w:ascii="Arial" w:hAnsi="Arial" w:cs="Arial"/>
                                <w:sz w:val="16"/>
                                <w:szCs w:val="16"/>
                              </w:rPr>
                              <w:t xml:space="preserve">  Nota: La suma de los parciales puede no coincidir</w:t>
                            </w:r>
                          </w:p>
                          <w:p w14:paraId="2580739F" w14:textId="77777777" w:rsidR="000A648D" w:rsidRDefault="000A648D">
                            <w:pPr>
                              <w:ind w:left="-108"/>
                              <w:rPr>
                                <w:rFonts w:ascii="Arial" w:hAnsi="Arial" w:cs="Arial"/>
                                <w:sz w:val="16"/>
                                <w:szCs w:val="16"/>
                              </w:rPr>
                            </w:pPr>
                            <w:r>
                              <w:rPr>
                                <w:rFonts w:ascii="Arial" w:hAnsi="Arial" w:cs="Arial"/>
                                <w:sz w:val="16"/>
                                <w:szCs w:val="16"/>
                              </w:rPr>
                              <w:t xml:space="preserve">          con el total, debido al redondeo</w:t>
                            </w:r>
                          </w:p>
                          <w:p w14:paraId="4BE06C0F" w14:textId="77777777" w:rsidR="000A648D" w:rsidRDefault="000A648D">
                            <w:pPr>
                              <w:ind w:left="-108"/>
                              <w:rPr>
                                <w:rFonts w:ascii="Arial" w:hAnsi="Arial" w:cs="Arial"/>
                                <w:sz w:val="16"/>
                                <w:szCs w:val="16"/>
                              </w:rPr>
                            </w:pPr>
                            <w:r>
                              <w:rPr>
                                <w:rFonts w:ascii="Arial" w:hAnsi="Arial" w:cs="Arial"/>
                                <w:sz w:val="16"/>
                                <w:szCs w:val="16"/>
                                <w:lang w:val="es-ES" w:eastAsia="es-MX"/>
                              </w:rPr>
                              <w:t xml:space="preserve">  Fuente: INEGI</w:t>
                            </w:r>
                          </w:p>
                          <w:p w14:paraId="7B9E585B" w14:textId="77777777" w:rsidR="000A648D" w:rsidRDefault="000A648D">
                            <w:pPr>
                              <w:ind w:left="-108"/>
                              <w:rPr>
                                <w:rFonts w:ascii="Arial" w:hAnsi="Arial" w:cs="Arial"/>
                                <w:sz w:val="16"/>
                                <w:szCs w:val="16"/>
                              </w:rPr>
                            </w:pPr>
                          </w:p>
                          <w:p w14:paraId="04B0A442" w14:textId="77777777" w:rsidR="000A648D" w:rsidRDefault="000A648D">
                            <w:pPr>
                              <w:ind w:left="-108"/>
                              <w:rPr>
                                <w:rFonts w:ascii="Arial" w:hAnsi="Arial" w:cs="Arial"/>
                                <w:sz w:val="16"/>
                                <w:szCs w:val="16"/>
                              </w:rPr>
                            </w:pPr>
                          </w:p>
                          <w:p w14:paraId="079A1B92" w14:textId="77777777" w:rsidR="000A648D" w:rsidRDefault="000A648D">
                            <w:pPr>
                              <w:ind w:left="-108"/>
                              <w:rPr>
                                <w:rFonts w:ascii="Arial" w:hAnsi="Arial" w:cs="Arial"/>
                                <w:sz w:val="16"/>
                                <w:szCs w:val="16"/>
                              </w:rPr>
                            </w:pPr>
                          </w:p>
                        </w:tc>
                        <w:tc>
                          <w:tcPr>
                            <w:tcW w:w="4644" w:type="dxa"/>
                          </w:tcPr>
                          <w:p w14:paraId="3E206E3B" w14:textId="77777777" w:rsidR="000A648D" w:rsidRDefault="000A648D">
                            <w:pPr>
                              <w:ind w:left="-108"/>
                              <w:rPr>
                                <w:rFonts w:ascii="Arial" w:hAnsi="Arial" w:cs="Arial"/>
                                <w:sz w:val="16"/>
                                <w:szCs w:val="16"/>
                              </w:rPr>
                            </w:pPr>
                            <w:r>
                              <w:rPr>
                                <w:rFonts w:ascii="Arial" w:hAnsi="Arial" w:cs="Arial"/>
                                <w:sz w:val="16"/>
                                <w:szCs w:val="16"/>
                              </w:rPr>
                              <w:t xml:space="preserve">   p/ Cifras preliminares </w:t>
                            </w:r>
                          </w:p>
                          <w:p w14:paraId="7D319E21" w14:textId="77777777" w:rsidR="000A648D" w:rsidRDefault="000A648D">
                            <w:pPr>
                              <w:ind w:left="-108"/>
                              <w:rPr>
                                <w:rFonts w:ascii="Arial" w:hAnsi="Arial" w:cs="Arial"/>
                                <w:sz w:val="16"/>
                                <w:szCs w:val="16"/>
                              </w:rPr>
                            </w:pPr>
                            <w:r>
                              <w:rPr>
                                <w:rFonts w:ascii="Arial" w:hAnsi="Arial" w:cs="Arial"/>
                                <w:sz w:val="16"/>
                                <w:szCs w:val="16"/>
                              </w:rPr>
                              <w:t xml:space="preserve">   Nota: La suma de los parciales puede no coincidir </w:t>
                            </w:r>
                          </w:p>
                          <w:p w14:paraId="738C49E0" w14:textId="77777777" w:rsidR="000A648D" w:rsidRDefault="000A648D">
                            <w:pPr>
                              <w:ind w:left="-108"/>
                              <w:rPr>
                                <w:rFonts w:ascii="Arial" w:hAnsi="Arial" w:cs="Arial"/>
                                <w:sz w:val="16"/>
                                <w:szCs w:val="16"/>
                              </w:rPr>
                            </w:pPr>
                            <w:r>
                              <w:rPr>
                                <w:rFonts w:ascii="Arial" w:hAnsi="Arial" w:cs="Arial"/>
                                <w:sz w:val="16"/>
                                <w:szCs w:val="16"/>
                              </w:rPr>
                              <w:t xml:space="preserve">          con el total, debido al redondeo</w:t>
                            </w:r>
                          </w:p>
                          <w:p w14:paraId="67FB1A2C" w14:textId="77777777" w:rsidR="000A648D" w:rsidRDefault="000A648D">
                            <w:pPr>
                              <w:ind w:left="-108"/>
                              <w:rPr>
                                <w:rFonts w:ascii="Arial" w:hAnsi="Arial" w:cs="Arial"/>
                                <w:sz w:val="16"/>
                                <w:szCs w:val="16"/>
                              </w:rPr>
                            </w:pPr>
                            <w:r>
                              <w:rPr>
                                <w:rFonts w:ascii="Arial" w:hAnsi="Arial" w:cs="Arial"/>
                                <w:sz w:val="16"/>
                                <w:szCs w:val="16"/>
                                <w:lang w:val="es-ES" w:eastAsia="es-MX"/>
                              </w:rPr>
                              <w:t xml:space="preserve">   Fuente: INEGI</w:t>
                            </w:r>
                          </w:p>
                          <w:p w14:paraId="2727F74E" w14:textId="77777777" w:rsidR="000A648D" w:rsidRDefault="000A648D">
                            <w:pPr>
                              <w:ind w:left="-108"/>
                              <w:rPr>
                                <w:rFonts w:ascii="Arial" w:hAnsi="Arial" w:cs="Arial"/>
                                <w:sz w:val="16"/>
                                <w:szCs w:val="16"/>
                              </w:rPr>
                            </w:pPr>
                          </w:p>
                        </w:tc>
                      </w:tr>
                    </w:tbl>
                    <w:p w14:paraId="2049C01E" w14:textId="77777777" w:rsidR="000A648D" w:rsidRDefault="000A648D" w:rsidP="000A648D">
                      <w:pPr>
                        <w:rPr>
                          <w:rFonts w:ascii="Arial" w:hAnsi="Arial" w:cs="Arial"/>
                          <w:sz w:val="16"/>
                          <w:szCs w:val="16"/>
                        </w:rPr>
                      </w:pPr>
                    </w:p>
                  </w:txbxContent>
                </v:textbox>
              </v:shape>
            </w:pict>
          </mc:Fallback>
        </mc:AlternateContent>
      </w:r>
      <w:r>
        <w:rPr>
          <w:noProof/>
          <w:lang w:val="es-MX" w:eastAsia="es-MX"/>
        </w:rPr>
        <w:drawing>
          <wp:inline distT="0" distB="0" distL="0" distR="0" wp14:anchorId="31588E32" wp14:editId="2D53EF5A">
            <wp:extent cx="5705475" cy="29908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lum bright="30000"/>
                      <a:extLst>
                        <a:ext uri="{28A0092B-C50C-407E-A947-70E740481C1C}">
                          <a14:useLocalDpi xmlns:a14="http://schemas.microsoft.com/office/drawing/2010/main" val="0"/>
                        </a:ext>
                      </a:extLst>
                    </a:blip>
                    <a:srcRect/>
                    <a:stretch>
                      <a:fillRect/>
                    </a:stretch>
                  </pic:blipFill>
                  <pic:spPr bwMode="auto">
                    <a:xfrm>
                      <a:off x="0" y="0"/>
                      <a:ext cx="5705475" cy="2990850"/>
                    </a:xfrm>
                    <a:prstGeom prst="rect">
                      <a:avLst/>
                    </a:prstGeom>
                    <a:noFill/>
                    <a:ln>
                      <a:noFill/>
                    </a:ln>
                  </pic:spPr>
                </pic:pic>
              </a:graphicData>
            </a:graphic>
          </wp:inline>
        </w:drawing>
      </w:r>
    </w:p>
    <w:p w14:paraId="1EC7C325" w14:textId="77777777" w:rsidR="000A648D" w:rsidRDefault="000A648D" w:rsidP="000A648D">
      <w:pPr>
        <w:jc w:val="both"/>
        <w:rPr>
          <w:rFonts w:ascii="Arial" w:hAnsi="Arial" w:cs="Arial"/>
          <w:sz w:val="24"/>
          <w:szCs w:val="24"/>
          <w:lang w:val="es-MX"/>
        </w:rPr>
      </w:pPr>
    </w:p>
    <w:p w14:paraId="70961311" w14:textId="77777777" w:rsidR="000A648D" w:rsidRDefault="000A648D" w:rsidP="000A648D">
      <w:pPr>
        <w:jc w:val="both"/>
        <w:rPr>
          <w:rFonts w:ascii="Arial" w:hAnsi="Arial" w:cs="Arial"/>
          <w:sz w:val="24"/>
          <w:szCs w:val="24"/>
          <w:lang w:val="es-MX"/>
        </w:rPr>
      </w:pPr>
    </w:p>
    <w:p w14:paraId="48666EF5" w14:textId="77777777" w:rsidR="000A648D" w:rsidRDefault="000A648D" w:rsidP="000A648D">
      <w:pPr>
        <w:jc w:val="both"/>
        <w:rPr>
          <w:rFonts w:ascii="Arial" w:hAnsi="Arial" w:cs="Arial"/>
          <w:sz w:val="24"/>
          <w:szCs w:val="24"/>
          <w:lang w:val="es-ES"/>
        </w:rPr>
      </w:pPr>
      <w:r>
        <w:rPr>
          <w:rFonts w:ascii="Arial" w:hAnsi="Arial" w:cs="Arial"/>
          <w:sz w:val="24"/>
          <w:szCs w:val="24"/>
          <w:lang w:val="es-MX"/>
        </w:rPr>
        <w:t>E</w:t>
      </w:r>
      <w:r>
        <w:rPr>
          <w:rFonts w:ascii="Arial" w:hAnsi="Arial" w:cs="Arial"/>
          <w:sz w:val="24"/>
          <w:szCs w:val="24"/>
          <w:lang w:val="es-ES"/>
        </w:rPr>
        <w:t xml:space="preserve">l total de la economía en la Región Centro-Sur del país ascendió 2%, con respecto al mismo periodo del año anterior, reflejo del comportamiento de las Actividades Primarias, Secundarias y Terciarias que evolucionaron 6, 2.8 y 1.3%, respectivamente.  </w:t>
      </w:r>
    </w:p>
    <w:p w14:paraId="1CBB898B" w14:textId="77777777" w:rsidR="000A648D" w:rsidRDefault="000A648D" w:rsidP="000A648D">
      <w:pPr>
        <w:jc w:val="both"/>
        <w:rPr>
          <w:rFonts w:ascii="Arial" w:hAnsi="Arial" w:cs="Arial"/>
          <w:b/>
          <w:sz w:val="16"/>
          <w:szCs w:val="16"/>
          <w:lang w:val="es-ES" w:eastAsia="es-MX"/>
        </w:rPr>
      </w:pPr>
    </w:p>
    <w:p w14:paraId="6198597C"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lastRenderedPageBreak/>
        <w:t>Gráfica 6</w:t>
      </w:r>
    </w:p>
    <w:p w14:paraId="2CADC888" w14:textId="77777777" w:rsidR="000A648D" w:rsidRDefault="000A648D" w:rsidP="000A648D">
      <w:pPr>
        <w:jc w:val="center"/>
        <w:rPr>
          <w:rFonts w:ascii="Arial" w:hAnsi="Arial" w:cs="Arial"/>
          <w:sz w:val="24"/>
          <w:szCs w:val="24"/>
          <w:lang w:val="es-ES"/>
        </w:rPr>
      </w:pPr>
      <w:r>
        <w:rPr>
          <w:rFonts w:ascii="Arial" w:hAnsi="Arial" w:cs="Arial"/>
          <w:b/>
          <w:sz w:val="16"/>
          <w:szCs w:val="16"/>
          <w:lang w:val="es-ES" w:eastAsia="es-MX"/>
        </w:rPr>
        <w:t>Variación porcentual real con respecto al mismo periodo del año anterior</w:t>
      </w:r>
    </w:p>
    <w:p w14:paraId="21F2E51F" w14:textId="77777777" w:rsidR="000A648D" w:rsidRDefault="000A648D" w:rsidP="000A648D">
      <w:pPr>
        <w:ind w:left="708" w:firstLine="708"/>
        <w:rPr>
          <w:rFonts w:ascii="Arial" w:hAnsi="Arial" w:cs="Arial"/>
          <w:sz w:val="16"/>
          <w:szCs w:val="16"/>
          <w:lang w:val="es-ES" w:eastAsia="es-MX"/>
        </w:rPr>
      </w:pPr>
      <w:r>
        <w:rPr>
          <w:noProof/>
          <w:lang w:val="es-MX" w:eastAsia="es-MX"/>
        </w:rPr>
        <w:drawing>
          <wp:inline distT="0" distB="0" distL="0" distR="0" wp14:anchorId="08122BB6" wp14:editId="3C239AB1">
            <wp:extent cx="3810000" cy="251460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14:paraId="7E4C9652" w14:textId="77777777" w:rsidR="000A648D" w:rsidRDefault="000A648D" w:rsidP="000A648D">
      <w:pPr>
        <w:ind w:left="1416"/>
        <w:rPr>
          <w:rFonts w:ascii="Arial" w:hAnsi="Arial" w:cs="Arial"/>
          <w:sz w:val="16"/>
          <w:szCs w:val="16"/>
          <w:lang w:val="es-ES" w:eastAsia="es-MX"/>
        </w:rPr>
      </w:pPr>
      <w:r>
        <w:rPr>
          <w:rFonts w:ascii="Arial" w:hAnsi="Arial" w:cs="Arial"/>
          <w:sz w:val="16"/>
          <w:szCs w:val="16"/>
          <w:lang w:val="es-ES" w:eastAsia="es-MX"/>
        </w:rPr>
        <w:t>p/ Cifras preliminares</w:t>
      </w:r>
    </w:p>
    <w:p w14:paraId="5B2FD39B" w14:textId="77777777" w:rsidR="000A648D" w:rsidRDefault="000A648D" w:rsidP="000A648D">
      <w:pPr>
        <w:ind w:left="708" w:firstLine="708"/>
        <w:rPr>
          <w:rFonts w:ascii="Arial" w:hAnsi="Arial" w:cs="Arial"/>
          <w:sz w:val="24"/>
          <w:szCs w:val="24"/>
          <w:lang w:val="es-ES" w:eastAsia="es-MX"/>
        </w:rPr>
      </w:pPr>
      <w:r>
        <w:rPr>
          <w:rFonts w:ascii="Arial" w:hAnsi="Arial" w:cs="Arial"/>
          <w:sz w:val="16"/>
          <w:szCs w:val="16"/>
          <w:lang w:val="es-ES" w:eastAsia="es-MX"/>
        </w:rPr>
        <w:t>Fuente: INEGI</w:t>
      </w:r>
    </w:p>
    <w:p w14:paraId="54D5B90C" w14:textId="77777777" w:rsidR="000A648D" w:rsidRDefault="000A648D" w:rsidP="000A648D">
      <w:pPr>
        <w:jc w:val="both"/>
        <w:rPr>
          <w:rFonts w:ascii="Arial" w:hAnsi="Arial" w:cs="Arial"/>
          <w:sz w:val="24"/>
          <w:szCs w:val="24"/>
          <w:lang w:val="es-MX"/>
        </w:rPr>
      </w:pPr>
    </w:p>
    <w:p w14:paraId="2628F619" w14:textId="77777777" w:rsidR="000A648D" w:rsidRDefault="000A648D" w:rsidP="000A648D">
      <w:pPr>
        <w:jc w:val="both"/>
        <w:rPr>
          <w:rFonts w:ascii="Arial" w:hAnsi="Arial" w:cs="Arial"/>
          <w:sz w:val="24"/>
          <w:szCs w:val="24"/>
          <w:lang w:val="es-MX"/>
        </w:rPr>
      </w:pPr>
    </w:p>
    <w:p w14:paraId="0C75F6C6" w14:textId="77777777" w:rsidR="000A648D" w:rsidRDefault="000A648D" w:rsidP="000A648D">
      <w:pPr>
        <w:jc w:val="both"/>
        <w:rPr>
          <w:rFonts w:ascii="Arial" w:hAnsi="Arial" w:cs="Arial"/>
          <w:sz w:val="24"/>
          <w:szCs w:val="24"/>
          <w:lang w:val="es-MX"/>
        </w:rPr>
      </w:pPr>
    </w:p>
    <w:p w14:paraId="2488CDAB" w14:textId="77777777" w:rsidR="000A648D" w:rsidRDefault="000A648D" w:rsidP="000A648D">
      <w:pPr>
        <w:jc w:val="both"/>
        <w:rPr>
          <w:rFonts w:ascii="Arial" w:hAnsi="Arial" w:cs="Arial"/>
          <w:sz w:val="24"/>
          <w:szCs w:val="24"/>
          <w:lang w:val="es-MX"/>
        </w:rPr>
      </w:pPr>
    </w:p>
    <w:p w14:paraId="2F46D464" w14:textId="77777777" w:rsidR="000A648D" w:rsidRDefault="000A648D" w:rsidP="000A648D">
      <w:pPr>
        <w:jc w:val="both"/>
        <w:rPr>
          <w:rFonts w:ascii="Arial" w:hAnsi="Arial" w:cs="Arial"/>
          <w:sz w:val="24"/>
          <w:szCs w:val="24"/>
          <w:lang w:val="es-MX"/>
        </w:rPr>
      </w:pPr>
      <w:r>
        <w:rPr>
          <w:rFonts w:ascii="Arial" w:hAnsi="Arial" w:cs="Arial"/>
          <w:sz w:val="24"/>
          <w:szCs w:val="24"/>
          <w:lang w:val="es-MX"/>
        </w:rPr>
        <w:t>La entidad que más influyó en la evolución del total de la economía, en el primer trimestre de 2019, de la Región Centro-Sur fue Puebla.</w:t>
      </w:r>
    </w:p>
    <w:p w14:paraId="4B4ECDCE" w14:textId="77777777" w:rsidR="000A648D" w:rsidRDefault="000A648D" w:rsidP="000A648D">
      <w:pPr>
        <w:jc w:val="both"/>
        <w:rPr>
          <w:rFonts w:ascii="Arial" w:hAnsi="Arial" w:cs="Arial"/>
          <w:sz w:val="12"/>
          <w:szCs w:val="12"/>
          <w:lang w:val="es-MX"/>
        </w:rPr>
      </w:pPr>
    </w:p>
    <w:p w14:paraId="293A2AA2"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Gráfica 7</w:t>
      </w:r>
    </w:p>
    <w:p w14:paraId="378257AD"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Contribución porcentual a la variación de la Región Centro-Sur</w:t>
      </w:r>
    </w:p>
    <w:p w14:paraId="1E6A64FC"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Total de la Economía</w:t>
      </w:r>
    </w:p>
    <w:p w14:paraId="72B0E8EB" w14:textId="77777777" w:rsidR="000A648D" w:rsidRDefault="000A648D" w:rsidP="000A648D">
      <w:pPr>
        <w:jc w:val="center"/>
        <w:rPr>
          <w:rFonts w:ascii="Arial" w:hAnsi="Arial" w:cs="Arial"/>
          <w:b/>
          <w:sz w:val="16"/>
          <w:szCs w:val="16"/>
          <w:lang w:val="es-ES" w:eastAsia="es-MX"/>
        </w:rPr>
      </w:pPr>
      <w:r>
        <w:rPr>
          <w:noProof/>
          <w:lang w:val="es-MX" w:eastAsia="es-MX"/>
        </w:rPr>
        <w:lastRenderedPageBreak/>
        <w:drawing>
          <wp:inline distT="0" distB="0" distL="0" distR="0" wp14:anchorId="3CF24D45" wp14:editId="368B2928">
            <wp:extent cx="3810000" cy="251460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14:paraId="07E46341"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p/ Cifras preliminares</w:t>
      </w:r>
    </w:p>
    <w:p w14:paraId="5FC06D08" w14:textId="77777777" w:rsidR="000A648D" w:rsidRDefault="000A648D" w:rsidP="000A648D">
      <w:pPr>
        <w:ind w:left="1416"/>
        <w:rPr>
          <w:rFonts w:ascii="Arial" w:hAnsi="Arial" w:cs="Arial"/>
          <w:sz w:val="16"/>
          <w:szCs w:val="16"/>
          <w:lang w:val="es-ES" w:eastAsia="es-MX"/>
        </w:rPr>
      </w:pPr>
      <w:r>
        <w:rPr>
          <w:rFonts w:ascii="Arial" w:hAnsi="Arial" w:cs="Arial"/>
          <w:sz w:val="16"/>
          <w:szCs w:val="16"/>
          <w:lang w:val="es-ES" w:eastAsia="es-MX"/>
        </w:rPr>
        <w:t>Nota: La suma de los parciales puede no coincidir con el total, debido al redondeo</w:t>
      </w:r>
    </w:p>
    <w:p w14:paraId="7423C37D"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Fuente: INEGI</w:t>
      </w:r>
    </w:p>
    <w:p w14:paraId="1B0F8EB8" w14:textId="77777777" w:rsidR="000A648D" w:rsidRDefault="000A648D" w:rsidP="000A648D">
      <w:pPr>
        <w:ind w:left="708" w:firstLine="708"/>
        <w:rPr>
          <w:rFonts w:ascii="Arial" w:hAnsi="Arial" w:cs="Arial"/>
          <w:sz w:val="16"/>
          <w:szCs w:val="16"/>
          <w:lang w:val="es-ES" w:eastAsia="es-MX"/>
        </w:rPr>
      </w:pPr>
    </w:p>
    <w:p w14:paraId="3EE2E982" w14:textId="77777777" w:rsidR="000A648D" w:rsidRDefault="000A648D" w:rsidP="000A648D">
      <w:pPr>
        <w:jc w:val="both"/>
        <w:rPr>
          <w:rFonts w:ascii="Arial" w:hAnsi="Arial" w:cs="Arial"/>
          <w:sz w:val="24"/>
          <w:szCs w:val="24"/>
        </w:rPr>
      </w:pPr>
      <w:r>
        <w:rPr>
          <w:rFonts w:ascii="Arial" w:hAnsi="Arial" w:cs="Arial"/>
          <w:sz w:val="24"/>
          <w:szCs w:val="24"/>
        </w:rPr>
        <w:t xml:space="preserve">Por su parte, en las Actividades Primarias Michoacán de Ocampo y Puebla reportaron la mayor contribución en el avance de la región.  </w:t>
      </w:r>
    </w:p>
    <w:p w14:paraId="2224F0B4" w14:textId="77777777" w:rsidR="000A648D" w:rsidRDefault="000A648D" w:rsidP="000A648D">
      <w:pPr>
        <w:jc w:val="both"/>
        <w:rPr>
          <w:rFonts w:ascii="Arial" w:hAnsi="Arial" w:cs="Arial"/>
          <w:sz w:val="16"/>
          <w:szCs w:val="16"/>
        </w:rPr>
      </w:pPr>
    </w:p>
    <w:p w14:paraId="7E32E003"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Gráfica 8</w:t>
      </w:r>
    </w:p>
    <w:tbl>
      <w:tblPr>
        <w:tblW w:w="0" w:type="auto"/>
        <w:tblInd w:w="1809" w:type="dxa"/>
        <w:tblLook w:val="04A0" w:firstRow="1" w:lastRow="0" w:firstColumn="1" w:lastColumn="0" w:noHBand="0" w:noVBand="1"/>
      </w:tblPr>
      <w:tblGrid>
        <w:gridCol w:w="5387"/>
      </w:tblGrid>
      <w:tr w:rsidR="000A648D" w14:paraId="07382475" w14:textId="77777777" w:rsidTr="000A648D">
        <w:tc>
          <w:tcPr>
            <w:tcW w:w="5387" w:type="dxa"/>
            <w:hideMark/>
          </w:tcPr>
          <w:p w14:paraId="00C8BCE5" w14:textId="77777777" w:rsidR="000A648D" w:rsidRDefault="000A648D">
            <w:pPr>
              <w:ind w:left="-250" w:right="-250"/>
              <w:jc w:val="center"/>
              <w:rPr>
                <w:rFonts w:ascii="Arial" w:hAnsi="Arial" w:cs="Arial"/>
                <w:b/>
                <w:sz w:val="16"/>
                <w:szCs w:val="16"/>
                <w:lang w:val="es-ES" w:eastAsia="es-MX"/>
              </w:rPr>
            </w:pPr>
            <w:r>
              <w:rPr>
                <w:rFonts w:ascii="Arial" w:hAnsi="Arial" w:cs="Arial"/>
                <w:b/>
                <w:sz w:val="16"/>
                <w:szCs w:val="16"/>
                <w:lang w:val="es-ES" w:eastAsia="es-MX"/>
              </w:rPr>
              <w:t>Contribución porcentual a la variación de la Región Centro-Sur</w:t>
            </w:r>
          </w:p>
          <w:p w14:paraId="30033C96" w14:textId="77777777" w:rsidR="000A648D" w:rsidRDefault="000A648D">
            <w:pPr>
              <w:ind w:left="-250" w:right="-250"/>
              <w:jc w:val="center"/>
              <w:rPr>
                <w:rFonts w:ascii="Arial" w:hAnsi="Arial" w:cs="Arial"/>
                <w:sz w:val="24"/>
                <w:szCs w:val="24"/>
              </w:rPr>
            </w:pPr>
            <w:r>
              <w:rPr>
                <w:rFonts w:ascii="Arial" w:hAnsi="Arial" w:cs="Arial"/>
                <w:b/>
                <w:sz w:val="16"/>
                <w:szCs w:val="16"/>
                <w:lang w:val="es-ES" w:eastAsia="es-MX"/>
              </w:rPr>
              <w:t>Actividades Primarias</w:t>
            </w:r>
          </w:p>
        </w:tc>
      </w:tr>
    </w:tbl>
    <w:p w14:paraId="0FDB52F1" w14:textId="77777777" w:rsidR="000A648D" w:rsidRDefault="000A648D" w:rsidP="000A648D">
      <w:pPr>
        <w:jc w:val="center"/>
      </w:pPr>
      <w:r>
        <w:rPr>
          <w:noProof/>
          <w:lang w:val="es-MX" w:eastAsia="es-MX"/>
        </w:rPr>
        <w:lastRenderedPageBreak/>
        <w:drawing>
          <wp:inline distT="0" distB="0" distL="0" distR="0" wp14:anchorId="13B6BC40" wp14:editId="6460991F">
            <wp:extent cx="3810000" cy="251460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14:paraId="6C09ACBF"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p/ Cifras preliminares</w:t>
      </w:r>
    </w:p>
    <w:p w14:paraId="4A34FEA1" w14:textId="77777777" w:rsidR="000A648D" w:rsidRDefault="000A648D" w:rsidP="000A648D">
      <w:pPr>
        <w:ind w:left="1416"/>
        <w:rPr>
          <w:rFonts w:ascii="Arial" w:hAnsi="Arial" w:cs="Arial"/>
          <w:sz w:val="16"/>
          <w:szCs w:val="16"/>
          <w:lang w:val="es-ES" w:eastAsia="es-MX"/>
        </w:rPr>
      </w:pPr>
      <w:r>
        <w:rPr>
          <w:rFonts w:ascii="Arial" w:hAnsi="Arial" w:cs="Arial"/>
          <w:sz w:val="16"/>
          <w:szCs w:val="16"/>
          <w:lang w:val="es-ES" w:eastAsia="es-MX"/>
        </w:rPr>
        <w:t>Nota: La suma de los parciales puede no coincidir con el total, debido al redondeo</w:t>
      </w:r>
    </w:p>
    <w:p w14:paraId="6E19439F"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Fuente: INEGI</w:t>
      </w:r>
    </w:p>
    <w:p w14:paraId="5A44227F" w14:textId="77777777" w:rsidR="000A648D" w:rsidRDefault="000A648D" w:rsidP="000A648D">
      <w:pPr>
        <w:jc w:val="both"/>
        <w:rPr>
          <w:rFonts w:ascii="Arial" w:hAnsi="Arial" w:cs="Arial"/>
          <w:sz w:val="24"/>
          <w:szCs w:val="24"/>
        </w:rPr>
      </w:pPr>
    </w:p>
    <w:p w14:paraId="02EC462C" w14:textId="77777777" w:rsidR="000A648D" w:rsidRDefault="000A648D" w:rsidP="000A648D">
      <w:pPr>
        <w:jc w:val="both"/>
        <w:rPr>
          <w:rFonts w:ascii="Arial" w:hAnsi="Arial" w:cs="Arial"/>
          <w:sz w:val="24"/>
          <w:szCs w:val="24"/>
        </w:rPr>
      </w:pPr>
    </w:p>
    <w:p w14:paraId="3D4CA5E8" w14:textId="77777777" w:rsidR="000A648D" w:rsidRDefault="000A648D" w:rsidP="000A648D">
      <w:pPr>
        <w:jc w:val="both"/>
        <w:rPr>
          <w:rFonts w:ascii="Arial" w:hAnsi="Arial" w:cs="Arial"/>
          <w:sz w:val="24"/>
          <w:szCs w:val="24"/>
        </w:rPr>
      </w:pPr>
    </w:p>
    <w:p w14:paraId="4085774C" w14:textId="77777777" w:rsidR="000A648D" w:rsidRDefault="000A648D" w:rsidP="000A648D">
      <w:pPr>
        <w:jc w:val="both"/>
        <w:rPr>
          <w:rFonts w:ascii="Arial" w:hAnsi="Arial" w:cs="Arial"/>
          <w:sz w:val="24"/>
          <w:szCs w:val="24"/>
        </w:rPr>
      </w:pPr>
    </w:p>
    <w:p w14:paraId="5B3E6A10" w14:textId="77777777" w:rsidR="000A648D" w:rsidRDefault="000A648D" w:rsidP="000A648D">
      <w:pPr>
        <w:jc w:val="both"/>
        <w:rPr>
          <w:rFonts w:ascii="Arial" w:hAnsi="Arial" w:cs="Arial"/>
          <w:sz w:val="24"/>
          <w:szCs w:val="24"/>
        </w:rPr>
      </w:pPr>
    </w:p>
    <w:p w14:paraId="0477BE49" w14:textId="77777777" w:rsidR="000A648D" w:rsidRDefault="000A648D" w:rsidP="000A648D">
      <w:pPr>
        <w:jc w:val="both"/>
        <w:rPr>
          <w:rFonts w:ascii="Arial" w:hAnsi="Arial" w:cs="Arial"/>
          <w:sz w:val="24"/>
          <w:szCs w:val="24"/>
        </w:rPr>
      </w:pPr>
      <w:r>
        <w:rPr>
          <w:rFonts w:ascii="Arial" w:hAnsi="Arial" w:cs="Arial"/>
          <w:sz w:val="24"/>
          <w:szCs w:val="24"/>
        </w:rPr>
        <w:t>En tanto, las Actividades Secundarias progresaron por el comportamiento registrado, sobre todo, en Puebla.</w:t>
      </w:r>
    </w:p>
    <w:p w14:paraId="00CB9B2A" w14:textId="77777777" w:rsidR="000A648D" w:rsidRDefault="000A648D" w:rsidP="000A648D">
      <w:pPr>
        <w:jc w:val="both"/>
        <w:rPr>
          <w:rFonts w:ascii="Arial" w:hAnsi="Arial" w:cs="Arial"/>
          <w:sz w:val="16"/>
          <w:szCs w:val="16"/>
        </w:rPr>
      </w:pPr>
    </w:p>
    <w:p w14:paraId="1E0C46EB"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Gráfica 9</w:t>
      </w:r>
    </w:p>
    <w:p w14:paraId="580962BD"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Contribución porcentual a la variación de la Región Centro-Sur</w:t>
      </w:r>
    </w:p>
    <w:p w14:paraId="7B1DC8EE"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Actividades Secundarias</w:t>
      </w:r>
    </w:p>
    <w:p w14:paraId="40B259EE" w14:textId="77777777" w:rsidR="000A648D" w:rsidRDefault="000A648D" w:rsidP="000A648D">
      <w:pPr>
        <w:jc w:val="center"/>
        <w:rPr>
          <w:rFonts w:ascii="Arial" w:hAnsi="Arial" w:cs="Arial"/>
          <w:sz w:val="16"/>
          <w:szCs w:val="16"/>
        </w:rPr>
      </w:pPr>
      <w:r>
        <w:rPr>
          <w:noProof/>
          <w:lang w:val="es-MX" w:eastAsia="es-MX"/>
        </w:rPr>
        <w:lastRenderedPageBreak/>
        <w:drawing>
          <wp:inline distT="0" distB="0" distL="0" distR="0" wp14:anchorId="68DF2B1A" wp14:editId="5485736A">
            <wp:extent cx="3819525" cy="2514600"/>
            <wp:effectExtent l="0" t="0" r="9525"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9525" cy="2514600"/>
                    </a:xfrm>
                    <a:prstGeom prst="rect">
                      <a:avLst/>
                    </a:prstGeom>
                    <a:noFill/>
                    <a:ln>
                      <a:noFill/>
                    </a:ln>
                  </pic:spPr>
                </pic:pic>
              </a:graphicData>
            </a:graphic>
          </wp:inline>
        </w:drawing>
      </w:r>
    </w:p>
    <w:p w14:paraId="1530E8E3"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p/ Cifras preliminares</w:t>
      </w:r>
    </w:p>
    <w:p w14:paraId="106315BF" w14:textId="77777777" w:rsidR="000A648D" w:rsidRDefault="000A648D" w:rsidP="000A648D">
      <w:pPr>
        <w:ind w:left="1416"/>
        <w:rPr>
          <w:rFonts w:ascii="Arial" w:hAnsi="Arial" w:cs="Arial"/>
          <w:sz w:val="16"/>
          <w:szCs w:val="16"/>
          <w:lang w:val="es-ES" w:eastAsia="es-MX"/>
        </w:rPr>
      </w:pPr>
      <w:r>
        <w:rPr>
          <w:rFonts w:ascii="Arial" w:hAnsi="Arial" w:cs="Arial"/>
          <w:sz w:val="16"/>
          <w:szCs w:val="16"/>
          <w:lang w:val="es-ES" w:eastAsia="es-MX"/>
        </w:rPr>
        <w:t>Nota: La suma de los parciales puede no coincidir con el total, debido al redondeo</w:t>
      </w:r>
    </w:p>
    <w:p w14:paraId="44460C97" w14:textId="77777777" w:rsidR="000A648D" w:rsidRDefault="000A648D" w:rsidP="000A648D">
      <w:pPr>
        <w:ind w:left="708" w:firstLine="708"/>
        <w:rPr>
          <w:rFonts w:ascii="Arial" w:hAnsi="Arial" w:cs="Arial"/>
        </w:rPr>
      </w:pPr>
      <w:r>
        <w:rPr>
          <w:rFonts w:ascii="Arial" w:hAnsi="Arial" w:cs="Arial"/>
          <w:sz w:val="16"/>
          <w:szCs w:val="16"/>
          <w:lang w:val="es-ES" w:eastAsia="es-MX"/>
        </w:rPr>
        <w:t>Fuente: INEGI</w:t>
      </w:r>
    </w:p>
    <w:p w14:paraId="4E5DCC47" w14:textId="77777777" w:rsidR="000A648D" w:rsidRDefault="000A648D" w:rsidP="000A648D">
      <w:pPr>
        <w:jc w:val="center"/>
        <w:rPr>
          <w:sz w:val="16"/>
          <w:szCs w:val="16"/>
        </w:rPr>
      </w:pPr>
    </w:p>
    <w:p w14:paraId="7F72AE4F" w14:textId="77777777" w:rsidR="000A648D" w:rsidRDefault="000A648D" w:rsidP="000A648D">
      <w:pPr>
        <w:jc w:val="both"/>
        <w:rPr>
          <w:rFonts w:ascii="Arial" w:hAnsi="Arial" w:cs="Arial"/>
          <w:sz w:val="24"/>
          <w:szCs w:val="24"/>
        </w:rPr>
      </w:pPr>
      <w:r>
        <w:rPr>
          <w:rFonts w:ascii="Arial" w:hAnsi="Arial" w:cs="Arial"/>
          <w:sz w:val="24"/>
          <w:szCs w:val="24"/>
        </w:rPr>
        <w:t xml:space="preserve">Finalmente, en las Actividades Terciarias, también, el estado de Puebla fue el que contribuyó en mayor medida al crecimiento de la región. </w:t>
      </w:r>
    </w:p>
    <w:p w14:paraId="6D9609D4" w14:textId="77777777" w:rsidR="000A648D" w:rsidRDefault="000A648D" w:rsidP="000A648D">
      <w:pPr>
        <w:jc w:val="both"/>
        <w:rPr>
          <w:rFonts w:ascii="Arial" w:hAnsi="Arial" w:cs="Arial"/>
          <w:sz w:val="16"/>
          <w:szCs w:val="16"/>
        </w:rPr>
      </w:pPr>
    </w:p>
    <w:p w14:paraId="3003F10B"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Gráfica 10</w:t>
      </w:r>
    </w:p>
    <w:p w14:paraId="2243038C" w14:textId="77777777" w:rsidR="000A648D" w:rsidRDefault="000A648D" w:rsidP="000A648D">
      <w:pPr>
        <w:jc w:val="center"/>
        <w:rPr>
          <w:rFonts w:ascii="Arial" w:hAnsi="Arial" w:cs="Arial"/>
          <w:b/>
          <w:sz w:val="16"/>
          <w:szCs w:val="16"/>
          <w:lang w:val="es-ES" w:eastAsia="es-MX"/>
        </w:rPr>
      </w:pPr>
      <w:r>
        <w:rPr>
          <w:rFonts w:ascii="Arial" w:hAnsi="Arial" w:cs="Arial"/>
          <w:b/>
          <w:sz w:val="16"/>
          <w:szCs w:val="16"/>
          <w:lang w:val="es-ES" w:eastAsia="es-MX"/>
        </w:rPr>
        <w:t>Contribución porcentual a la variación de la Región Centro-Sur</w:t>
      </w:r>
    </w:p>
    <w:p w14:paraId="7FEBCF72" w14:textId="77777777" w:rsidR="000A648D" w:rsidRDefault="000A648D" w:rsidP="000A648D">
      <w:pPr>
        <w:jc w:val="center"/>
        <w:rPr>
          <w:rFonts w:ascii="Arial" w:hAnsi="Arial" w:cs="Arial"/>
          <w:sz w:val="16"/>
          <w:szCs w:val="16"/>
        </w:rPr>
      </w:pPr>
      <w:r>
        <w:rPr>
          <w:rFonts w:ascii="Arial" w:hAnsi="Arial" w:cs="Arial"/>
          <w:b/>
          <w:sz w:val="16"/>
          <w:szCs w:val="16"/>
          <w:lang w:val="es-ES" w:eastAsia="es-MX"/>
        </w:rPr>
        <w:t>Actividades Terciarias</w:t>
      </w:r>
    </w:p>
    <w:p w14:paraId="14825475" w14:textId="77777777" w:rsidR="000A648D" w:rsidRDefault="000A648D" w:rsidP="000A648D">
      <w:pPr>
        <w:jc w:val="center"/>
        <w:rPr>
          <w:rFonts w:ascii="Arial" w:hAnsi="Arial" w:cs="Arial"/>
        </w:rPr>
      </w:pPr>
      <w:r>
        <w:rPr>
          <w:noProof/>
          <w:lang w:val="es-MX" w:eastAsia="es-MX"/>
        </w:rPr>
        <w:lastRenderedPageBreak/>
        <w:drawing>
          <wp:inline distT="0" distB="0" distL="0" distR="0" wp14:anchorId="1EA983B9" wp14:editId="682F1E5B">
            <wp:extent cx="3810000" cy="251460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14:paraId="66EED2B6"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p/ Cifras preliminares</w:t>
      </w:r>
    </w:p>
    <w:p w14:paraId="73167185" w14:textId="77777777" w:rsidR="000A648D" w:rsidRDefault="000A648D" w:rsidP="000A648D">
      <w:pPr>
        <w:ind w:left="1416"/>
        <w:rPr>
          <w:rFonts w:ascii="Arial" w:hAnsi="Arial" w:cs="Arial"/>
          <w:sz w:val="16"/>
          <w:szCs w:val="16"/>
          <w:lang w:val="es-ES" w:eastAsia="es-MX"/>
        </w:rPr>
      </w:pPr>
      <w:r>
        <w:rPr>
          <w:rFonts w:ascii="Arial" w:hAnsi="Arial" w:cs="Arial"/>
          <w:sz w:val="16"/>
          <w:szCs w:val="16"/>
          <w:lang w:val="es-ES" w:eastAsia="es-MX"/>
        </w:rPr>
        <w:t>Nota: La suma de los parciales puede no coincidir con el total, debido al redondeo</w:t>
      </w:r>
    </w:p>
    <w:p w14:paraId="3F0E009D" w14:textId="77777777" w:rsidR="000A648D" w:rsidRDefault="000A648D" w:rsidP="000A648D">
      <w:pPr>
        <w:ind w:left="708" w:firstLine="708"/>
        <w:rPr>
          <w:rFonts w:ascii="Arial" w:hAnsi="Arial" w:cs="Arial"/>
          <w:sz w:val="16"/>
          <w:szCs w:val="16"/>
          <w:lang w:val="es-ES" w:eastAsia="es-MX"/>
        </w:rPr>
      </w:pPr>
      <w:r>
        <w:rPr>
          <w:rFonts w:ascii="Arial" w:hAnsi="Arial" w:cs="Arial"/>
          <w:sz w:val="16"/>
          <w:szCs w:val="16"/>
          <w:lang w:val="es-ES" w:eastAsia="es-MX"/>
        </w:rPr>
        <w:t>Fuente: INEGI</w:t>
      </w:r>
    </w:p>
    <w:p w14:paraId="173A6646" w14:textId="77777777" w:rsidR="000A648D" w:rsidRDefault="000A648D" w:rsidP="000A648D">
      <w:pPr>
        <w:ind w:left="708" w:firstLine="708"/>
        <w:rPr>
          <w:rFonts w:ascii="Arial" w:hAnsi="Arial" w:cs="Arial"/>
          <w:sz w:val="16"/>
          <w:szCs w:val="16"/>
          <w:lang w:val="es-ES" w:eastAsia="es-MX"/>
        </w:rPr>
      </w:pPr>
    </w:p>
    <w:p w14:paraId="367239BC" w14:textId="77777777" w:rsidR="000A648D" w:rsidRDefault="000A648D" w:rsidP="000A648D">
      <w:pPr>
        <w:ind w:firstLine="1"/>
        <w:rPr>
          <w:rFonts w:ascii="Arial" w:hAnsi="Arial" w:cs="Arial"/>
          <w:b/>
          <w:smallCaps/>
          <w:sz w:val="24"/>
          <w:szCs w:val="24"/>
        </w:rPr>
      </w:pPr>
    </w:p>
    <w:p w14:paraId="571DC4E0" w14:textId="77777777" w:rsidR="000A648D" w:rsidRDefault="000A648D" w:rsidP="000A648D">
      <w:pPr>
        <w:ind w:firstLine="1"/>
        <w:rPr>
          <w:rFonts w:ascii="Arial" w:hAnsi="Arial" w:cs="Arial"/>
          <w:b/>
          <w:smallCaps/>
          <w:sz w:val="24"/>
          <w:szCs w:val="24"/>
        </w:rPr>
      </w:pPr>
    </w:p>
    <w:p w14:paraId="2C16AE93" w14:textId="77777777" w:rsidR="000A648D" w:rsidRDefault="000A648D" w:rsidP="000A648D">
      <w:pPr>
        <w:ind w:firstLine="1"/>
        <w:rPr>
          <w:rFonts w:ascii="Arial" w:hAnsi="Arial" w:cs="Arial"/>
          <w:b/>
          <w:smallCaps/>
          <w:sz w:val="24"/>
          <w:szCs w:val="24"/>
        </w:rPr>
      </w:pPr>
    </w:p>
    <w:p w14:paraId="7D341823" w14:textId="77777777" w:rsidR="000A648D" w:rsidRDefault="000A648D" w:rsidP="000A648D">
      <w:pPr>
        <w:ind w:firstLine="1"/>
        <w:rPr>
          <w:rFonts w:ascii="Arial" w:hAnsi="Arial" w:cs="Arial"/>
          <w:b/>
          <w:smallCaps/>
          <w:sz w:val="24"/>
          <w:szCs w:val="24"/>
        </w:rPr>
      </w:pPr>
    </w:p>
    <w:p w14:paraId="528EF5A4" w14:textId="77777777" w:rsidR="000A648D" w:rsidRDefault="000A648D" w:rsidP="000A648D">
      <w:pPr>
        <w:ind w:firstLine="1"/>
        <w:rPr>
          <w:rFonts w:ascii="Arial" w:hAnsi="Arial" w:cs="Arial"/>
          <w:b/>
          <w:smallCaps/>
          <w:sz w:val="24"/>
          <w:szCs w:val="24"/>
        </w:rPr>
      </w:pPr>
      <w:r>
        <w:rPr>
          <w:rFonts w:ascii="Arial" w:hAnsi="Arial" w:cs="Arial"/>
          <w:b/>
          <w:smallCaps/>
          <w:sz w:val="24"/>
          <w:szCs w:val="24"/>
        </w:rPr>
        <w:t>Análisis Económico Excluyendo La Minería Petrolera</w:t>
      </w:r>
    </w:p>
    <w:p w14:paraId="51728964" w14:textId="77777777" w:rsidR="000A648D" w:rsidRDefault="000A648D" w:rsidP="000A648D">
      <w:pPr>
        <w:ind w:firstLine="1"/>
        <w:jc w:val="both"/>
        <w:rPr>
          <w:rFonts w:ascii="Arial" w:hAnsi="Arial" w:cs="Arial"/>
          <w:sz w:val="24"/>
          <w:szCs w:val="24"/>
        </w:rPr>
      </w:pPr>
    </w:p>
    <w:p w14:paraId="320DA1FD" w14:textId="77777777" w:rsidR="000A648D" w:rsidRDefault="000A648D" w:rsidP="000A648D">
      <w:pPr>
        <w:ind w:firstLine="1"/>
        <w:jc w:val="both"/>
        <w:rPr>
          <w:rFonts w:ascii="Arial" w:hAnsi="Arial" w:cs="Arial"/>
          <w:sz w:val="24"/>
          <w:szCs w:val="24"/>
        </w:rPr>
      </w:pPr>
      <w:r>
        <w:rPr>
          <w:rFonts w:ascii="Arial" w:hAnsi="Arial" w:cs="Arial"/>
          <w:sz w:val="24"/>
          <w:szCs w:val="24"/>
        </w:rPr>
        <w:t>En apego a las necesidades de contar, en el corto plazo, con información del Total de la Economía y de las Activi</w:t>
      </w:r>
      <w:r>
        <w:rPr>
          <w:rFonts w:ascii="Arial" w:hAnsi="Arial" w:cs="Arial"/>
          <w:sz w:val="24"/>
          <w:szCs w:val="24"/>
        </w:rPr>
        <w:lastRenderedPageBreak/>
        <w:t>dades Secundarias, exceptuando la extracción de petróleo y gas, así como la perforación de pozos petroleros y de gas, se presenta el siguiente análisis económico sin considerar la minería petrolera.</w:t>
      </w:r>
    </w:p>
    <w:p w14:paraId="500C2686" w14:textId="77777777" w:rsidR="000A648D" w:rsidRDefault="000A648D" w:rsidP="000A648D">
      <w:pPr>
        <w:ind w:firstLine="1"/>
        <w:jc w:val="both"/>
        <w:rPr>
          <w:rFonts w:ascii="Arial" w:hAnsi="Arial" w:cs="Arial"/>
          <w:sz w:val="24"/>
          <w:szCs w:val="24"/>
        </w:rPr>
      </w:pPr>
    </w:p>
    <w:p w14:paraId="7D2EC4AF" w14:textId="625737D5" w:rsidR="000A648D" w:rsidRDefault="000A648D" w:rsidP="000A648D">
      <w:pPr>
        <w:ind w:firstLine="1"/>
        <w:jc w:val="both"/>
        <w:rPr>
          <w:rFonts w:ascii="Arial" w:hAnsi="Arial" w:cs="Arial"/>
          <w:sz w:val="24"/>
          <w:szCs w:val="24"/>
        </w:rPr>
      </w:pPr>
      <w:r>
        <w:rPr>
          <w:rFonts w:ascii="Arial" w:hAnsi="Arial" w:cs="Arial"/>
          <w:sz w:val="24"/>
          <w:szCs w:val="24"/>
        </w:rPr>
        <w:t>En este sentido, en el primer trimestre de 2019 la variación anual nacional del Total de la Economía alcanzó una evolución de 1.7%, quedando 17 entidades por arriba de la media nacional. Siendo Ciudad de México y Nuevo León, las entidades que más aportaron al crecimiento nacional.</w:t>
      </w:r>
    </w:p>
    <w:p w14:paraId="063C5DE5" w14:textId="77777777" w:rsidR="000A648D" w:rsidRDefault="000A648D" w:rsidP="000A648D">
      <w:pPr>
        <w:ind w:firstLine="1"/>
        <w:jc w:val="both"/>
        <w:rPr>
          <w:rFonts w:ascii="Arial" w:hAnsi="Arial" w:cs="Arial"/>
          <w:sz w:val="24"/>
          <w:szCs w:val="24"/>
        </w:rPr>
      </w:pPr>
    </w:p>
    <w:p w14:paraId="54EAD875" w14:textId="77777777" w:rsidR="000A648D" w:rsidRDefault="000A648D" w:rsidP="000A648D">
      <w:pPr>
        <w:jc w:val="center"/>
        <w:rPr>
          <w:rFonts w:ascii="Arial" w:hAnsi="Arial" w:cs="Arial"/>
          <w:b/>
          <w:bCs/>
          <w:sz w:val="18"/>
          <w:szCs w:val="18"/>
          <w:lang w:eastAsia="es-MX"/>
        </w:rPr>
      </w:pPr>
      <w:r>
        <w:rPr>
          <w:rFonts w:ascii="Arial" w:hAnsi="Arial" w:cs="Arial"/>
          <w:b/>
          <w:bCs/>
          <w:sz w:val="18"/>
          <w:szCs w:val="18"/>
          <w:lang w:eastAsia="es-MX"/>
        </w:rPr>
        <w:t>TOTAL DE LA ECONOMÍA SIN MINERÍA PETROLERA</w:t>
      </w:r>
    </w:p>
    <w:p w14:paraId="507ED82B" w14:textId="77777777" w:rsidR="000A648D" w:rsidRDefault="000A648D" w:rsidP="000A648D">
      <w:pPr>
        <w:jc w:val="center"/>
        <w:rPr>
          <w:rFonts w:ascii="Arial" w:hAnsi="Arial" w:cs="Arial"/>
          <w:b/>
          <w:bCs/>
          <w:sz w:val="18"/>
          <w:szCs w:val="18"/>
          <w:lang w:eastAsia="es-MX"/>
        </w:rPr>
      </w:pPr>
      <w:r>
        <w:rPr>
          <w:rFonts w:ascii="Arial" w:hAnsi="Arial" w:cs="Arial"/>
          <w:b/>
          <w:bCs/>
          <w:sz w:val="18"/>
          <w:szCs w:val="18"/>
          <w:lang w:eastAsia="es-MX"/>
        </w:rPr>
        <w:t xml:space="preserve">PRIMER TRIMESTRE 2019 </w:t>
      </w:r>
      <w:r>
        <w:rPr>
          <w:rFonts w:ascii="Arial" w:hAnsi="Arial" w:cs="Arial"/>
          <w:b/>
          <w:bCs/>
          <w:sz w:val="18"/>
          <w:szCs w:val="18"/>
          <w:vertAlign w:val="superscript"/>
          <w:lang w:eastAsia="es-MX"/>
        </w:rPr>
        <w:t>p/</w:t>
      </w:r>
    </w:p>
    <w:tbl>
      <w:tblPr>
        <w:tblW w:w="9356" w:type="dxa"/>
        <w:tblInd w:w="108" w:type="dxa"/>
        <w:tblLook w:val="04A0" w:firstRow="1" w:lastRow="0" w:firstColumn="1" w:lastColumn="0" w:noHBand="0" w:noVBand="1"/>
      </w:tblPr>
      <w:tblGrid>
        <w:gridCol w:w="4678"/>
        <w:gridCol w:w="4678"/>
      </w:tblGrid>
      <w:tr w:rsidR="000A648D" w14:paraId="3A1F2970" w14:textId="77777777" w:rsidTr="000A648D">
        <w:trPr>
          <w:trHeight w:val="57"/>
        </w:trPr>
        <w:tc>
          <w:tcPr>
            <w:tcW w:w="4678" w:type="dxa"/>
            <w:hideMark/>
          </w:tcPr>
          <w:p w14:paraId="2D37D764" w14:textId="77777777" w:rsidR="000A648D" w:rsidRDefault="000A648D">
            <w:pPr>
              <w:ind w:right="175"/>
              <w:rPr>
                <w:rFonts w:ascii="Arial" w:hAnsi="Arial" w:cs="Arial"/>
                <w:sz w:val="18"/>
                <w:szCs w:val="18"/>
                <w:lang w:eastAsia="es-MX"/>
              </w:rPr>
            </w:pPr>
            <w:r>
              <w:rPr>
                <w:rFonts w:ascii="Arial" w:hAnsi="Arial" w:cs="Arial"/>
                <w:b/>
                <w:sz w:val="16"/>
                <w:szCs w:val="16"/>
                <w:lang w:eastAsia="es-MX"/>
              </w:rPr>
              <w:t>(Variación porcentual real con respecto al mismo periodo del año anterior)</w:t>
            </w:r>
          </w:p>
        </w:tc>
        <w:tc>
          <w:tcPr>
            <w:tcW w:w="4678" w:type="dxa"/>
            <w:vAlign w:val="center"/>
            <w:hideMark/>
          </w:tcPr>
          <w:p w14:paraId="524EF523" w14:textId="77777777" w:rsidR="000A648D" w:rsidRDefault="000A648D">
            <w:pPr>
              <w:ind w:left="-250" w:right="317"/>
              <w:jc w:val="center"/>
              <w:rPr>
                <w:rFonts w:ascii="Arial" w:hAnsi="Arial" w:cs="Arial"/>
                <w:sz w:val="18"/>
                <w:szCs w:val="18"/>
                <w:lang w:eastAsia="es-MX"/>
              </w:rPr>
            </w:pPr>
            <w:r>
              <w:rPr>
                <w:rFonts w:ascii="Arial" w:hAnsi="Arial" w:cs="Arial"/>
                <w:b/>
                <w:sz w:val="16"/>
                <w:szCs w:val="16"/>
                <w:lang w:eastAsia="es-MX"/>
              </w:rPr>
              <w:t>(Contribución porcentual al crecimiento nacional)</w:t>
            </w:r>
            <w:r>
              <w:rPr>
                <w:rFonts w:ascii="Arial" w:hAnsi="Arial" w:cs="Arial"/>
                <w:b/>
                <w:vertAlign w:val="superscript"/>
              </w:rPr>
              <w:t>1/</w:t>
            </w:r>
          </w:p>
        </w:tc>
      </w:tr>
    </w:tbl>
    <w:p w14:paraId="588592D7" w14:textId="77777777" w:rsidR="000A648D" w:rsidRDefault="000A648D" w:rsidP="000A648D">
      <w:pPr>
        <w:rPr>
          <w:szCs w:val="24"/>
        </w:rPr>
      </w:pPr>
      <w:r>
        <w:rPr>
          <w:noProof/>
          <w:lang w:val="es-MX" w:eastAsia="es-MX"/>
        </w:rPr>
        <w:lastRenderedPageBreak/>
        <w:drawing>
          <wp:inline distT="0" distB="0" distL="0" distR="0" wp14:anchorId="72AC7434" wp14:editId="5CF2E55A">
            <wp:extent cx="5610225" cy="33242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0225" cy="3324225"/>
                    </a:xfrm>
                    <a:prstGeom prst="rect">
                      <a:avLst/>
                    </a:prstGeom>
                    <a:noFill/>
                    <a:ln>
                      <a:noFill/>
                    </a:ln>
                  </pic:spPr>
                </pic:pic>
              </a:graphicData>
            </a:graphic>
          </wp:inline>
        </w:drawing>
      </w:r>
    </w:p>
    <w:p w14:paraId="175F2430" w14:textId="77777777" w:rsidR="000A648D" w:rsidRDefault="000A648D" w:rsidP="000A648D">
      <w:pPr>
        <w:ind w:firstLine="1"/>
        <w:jc w:val="both"/>
      </w:pPr>
      <w:r>
        <w:rPr>
          <w:rFonts w:ascii="Arial" w:hAnsi="Arial" w:cs="Arial"/>
          <w:b/>
          <w:vertAlign w:val="superscript"/>
        </w:rPr>
        <w:t>1/</w:t>
      </w:r>
      <w:r>
        <w:rPr>
          <w:rFonts w:ascii="Arial" w:hAnsi="Arial" w:cs="Arial"/>
          <w:sz w:val="16"/>
          <w:szCs w:val="16"/>
        </w:rPr>
        <w:t xml:space="preserve"> La suma de los parciales puede no coincidir con el total, debido al redondeo.</w:t>
      </w:r>
    </w:p>
    <w:p w14:paraId="37FC165C" w14:textId="77777777" w:rsidR="000A648D" w:rsidRDefault="000A648D" w:rsidP="000A648D">
      <w:pPr>
        <w:jc w:val="both"/>
        <w:rPr>
          <w:rFonts w:ascii="Arial" w:hAnsi="Arial" w:cs="Arial"/>
          <w:sz w:val="16"/>
          <w:szCs w:val="16"/>
          <w:lang w:val="es-ES" w:eastAsia="es-MX"/>
        </w:rPr>
      </w:pPr>
      <w:r>
        <w:rPr>
          <w:rFonts w:ascii="Arial" w:hAnsi="Arial" w:cs="Arial"/>
          <w:sz w:val="16"/>
          <w:szCs w:val="16"/>
          <w:lang w:val="es-ES" w:eastAsia="es-MX"/>
        </w:rPr>
        <w:t>p/ Cifras preliminares</w:t>
      </w:r>
    </w:p>
    <w:p w14:paraId="5CF2A7DA" w14:textId="77777777" w:rsidR="000A648D" w:rsidRDefault="000A648D" w:rsidP="000A648D">
      <w:pPr>
        <w:ind w:firstLine="1"/>
        <w:jc w:val="both"/>
        <w:rPr>
          <w:rFonts w:cs="Arial"/>
        </w:rPr>
      </w:pPr>
      <w:r>
        <w:rPr>
          <w:rFonts w:ascii="Arial" w:hAnsi="Arial" w:cs="Arial"/>
          <w:sz w:val="16"/>
          <w:szCs w:val="16"/>
          <w:lang w:val="es-ES" w:eastAsia="es-MX"/>
        </w:rPr>
        <w:t>Fuente: INEGI</w:t>
      </w:r>
    </w:p>
    <w:p w14:paraId="641E4DA1" w14:textId="77777777" w:rsidR="000A648D" w:rsidRDefault="000A648D" w:rsidP="000A648D">
      <w:pPr>
        <w:ind w:firstLine="1"/>
        <w:jc w:val="both"/>
        <w:rPr>
          <w:rFonts w:cs="Arial"/>
        </w:rPr>
      </w:pPr>
    </w:p>
    <w:p w14:paraId="799507DB" w14:textId="77777777" w:rsidR="000A648D" w:rsidRDefault="000A648D" w:rsidP="000A648D">
      <w:pPr>
        <w:widowControl/>
        <w:rPr>
          <w:rFonts w:cs="Arial"/>
        </w:rPr>
      </w:pPr>
      <w:r>
        <w:rPr>
          <w:rFonts w:cs="Arial"/>
        </w:rPr>
        <w:br w:type="page"/>
      </w:r>
    </w:p>
    <w:p w14:paraId="655B4BC0" w14:textId="77777777" w:rsidR="000A648D" w:rsidRDefault="000A648D" w:rsidP="000A648D">
      <w:pPr>
        <w:ind w:firstLine="1"/>
        <w:jc w:val="both"/>
        <w:rPr>
          <w:rFonts w:ascii="Arial" w:hAnsi="Arial" w:cs="Arial"/>
          <w:sz w:val="24"/>
          <w:szCs w:val="24"/>
        </w:rPr>
      </w:pPr>
    </w:p>
    <w:p w14:paraId="7A75F3DE" w14:textId="4705CE9B" w:rsidR="000A648D" w:rsidRDefault="000A648D" w:rsidP="000A648D">
      <w:pPr>
        <w:ind w:firstLine="1"/>
        <w:jc w:val="both"/>
        <w:rPr>
          <w:rFonts w:ascii="Arial" w:hAnsi="Arial" w:cs="Arial"/>
          <w:sz w:val="24"/>
          <w:szCs w:val="24"/>
        </w:rPr>
      </w:pPr>
      <w:r>
        <w:rPr>
          <w:rFonts w:ascii="Arial" w:hAnsi="Arial" w:cs="Arial"/>
          <w:sz w:val="24"/>
          <w:szCs w:val="24"/>
        </w:rPr>
        <w:t xml:space="preserve">Por lo que respecta a las Actividades Secundarias mostraron un crecimiento a tasa anual en el primer trimestre de 2019 de 0.6%, 19 entidades alcanzaron tasas positivas, dos de ellas no mostraron movimiento alguno; mientras que, </w:t>
      </w:r>
      <w:proofErr w:type="gramStart"/>
      <w:r>
        <w:rPr>
          <w:rFonts w:ascii="Arial" w:hAnsi="Arial" w:cs="Arial"/>
          <w:sz w:val="24"/>
          <w:szCs w:val="24"/>
        </w:rPr>
        <w:t>las 11 restantes</w:t>
      </w:r>
      <w:proofErr w:type="gramEnd"/>
      <w:r>
        <w:rPr>
          <w:rFonts w:ascii="Arial" w:hAnsi="Arial" w:cs="Arial"/>
          <w:sz w:val="24"/>
          <w:szCs w:val="24"/>
        </w:rPr>
        <w:t xml:space="preserve"> obtuvieron una caída en el periodo de estudio. Así, las entidades que más influyeron en la variación del nacional fueron Nuevo León, Baja California, Chihuahua y Puebla, principalmente.</w:t>
      </w:r>
    </w:p>
    <w:p w14:paraId="1A1973CD" w14:textId="77777777" w:rsidR="000A648D" w:rsidRDefault="000A648D" w:rsidP="000A648D">
      <w:pPr>
        <w:ind w:firstLine="1"/>
        <w:jc w:val="center"/>
        <w:rPr>
          <w:rFonts w:ascii="Arial" w:hAnsi="Arial" w:cs="Arial"/>
          <w:sz w:val="24"/>
          <w:szCs w:val="24"/>
        </w:rPr>
      </w:pPr>
    </w:p>
    <w:p w14:paraId="5D7C4587" w14:textId="77777777" w:rsidR="000A648D" w:rsidRDefault="000A648D" w:rsidP="000A648D">
      <w:pPr>
        <w:jc w:val="center"/>
        <w:rPr>
          <w:rFonts w:ascii="Arial" w:hAnsi="Arial" w:cs="Arial"/>
          <w:b/>
          <w:bCs/>
          <w:sz w:val="18"/>
          <w:szCs w:val="18"/>
          <w:lang w:eastAsia="es-MX"/>
        </w:rPr>
      </w:pPr>
      <w:r>
        <w:rPr>
          <w:rFonts w:ascii="Arial" w:hAnsi="Arial" w:cs="Arial"/>
          <w:b/>
          <w:bCs/>
          <w:sz w:val="18"/>
          <w:szCs w:val="18"/>
          <w:lang w:eastAsia="es-MX"/>
        </w:rPr>
        <w:t>ACTIVIDADES SECUNDARIAS SIN MINERÍA PETROLERA</w:t>
      </w:r>
    </w:p>
    <w:p w14:paraId="038445E1" w14:textId="77777777" w:rsidR="000A648D" w:rsidRDefault="000A648D" w:rsidP="000A648D">
      <w:pPr>
        <w:jc w:val="center"/>
        <w:rPr>
          <w:rFonts w:ascii="Arial" w:hAnsi="Arial" w:cs="Arial"/>
          <w:b/>
          <w:bCs/>
          <w:sz w:val="18"/>
          <w:szCs w:val="18"/>
          <w:lang w:eastAsia="es-MX"/>
        </w:rPr>
      </w:pPr>
      <w:r>
        <w:rPr>
          <w:rFonts w:ascii="Arial" w:hAnsi="Arial" w:cs="Arial"/>
          <w:b/>
          <w:bCs/>
          <w:sz w:val="18"/>
          <w:szCs w:val="18"/>
          <w:lang w:eastAsia="es-MX"/>
        </w:rPr>
        <w:t xml:space="preserve">PRIMER TRIMESTRE 2019 </w:t>
      </w:r>
      <w:r>
        <w:rPr>
          <w:rFonts w:ascii="Arial" w:hAnsi="Arial" w:cs="Arial"/>
          <w:b/>
          <w:bCs/>
          <w:sz w:val="18"/>
          <w:szCs w:val="18"/>
          <w:vertAlign w:val="superscript"/>
          <w:lang w:eastAsia="es-MX"/>
        </w:rPr>
        <w:t>p/</w:t>
      </w:r>
    </w:p>
    <w:tbl>
      <w:tblPr>
        <w:tblW w:w="9356" w:type="dxa"/>
        <w:tblInd w:w="108" w:type="dxa"/>
        <w:tblLook w:val="04A0" w:firstRow="1" w:lastRow="0" w:firstColumn="1" w:lastColumn="0" w:noHBand="0" w:noVBand="1"/>
      </w:tblPr>
      <w:tblGrid>
        <w:gridCol w:w="4678"/>
        <w:gridCol w:w="4678"/>
      </w:tblGrid>
      <w:tr w:rsidR="000A648D" w14:paraId="76EA4F98" w14:textId="77777777" w:rsidTr="000A648D">
        <w:tc>
          <w:tcPr>
            <w:tcW w:w="4678" w:type="dxa"/>
            <w:hideMark/>
          </w:tcPr>
          <w:p w14:paraId="0479898E" w14:textId="77777777" w:rsidR="000A648D" w:rsidRDefault="000A648D">
            <w:pPr>
              <w:ind w:right="175"/>
              <w:rPr>
                <w:rFonts w:ascii="Arial" w:hAnsi="Arial" w:cs="Arial"/>
                <w:sz w:val="18"/>
                <w:szCs w:val="18"/>
                <w:lang w:eastAsia="es-MX"/>
              </w:rPr>
            </w:pPr>
            <w:r>
              <w:rPr>
                <w:rFonts w:ascii="Arial" w:hAnsi="Arial" w:cs="Arial"/>
                <w:b/>
                <w:sz w:val="16"/>
                <w:szCs w:val="16"/>
                <w:lang w:eastAsia="es-MX"/>
              </w:rPr>
              <w:t>(Variación porcentual real con respecto al mismo periodo del año anterior)</w:t>
            </w:r>
          </w:p>
        </w:tc>
        <w:tc>
          <w:tcPr>
            <w:tcW w:w="4678" w:type="dxa"/>
            <w:vAlign w:val="center"/>
            <w:hideMark/>
          </w:tcPr>
          <w:p w14:paraId="459EC4A2" w14:textId="77777777" w:rsidR="000A648D" w:rsidRDefault="000A648D">
            <w:pPr>
              <w:ind w:left="-250" w:right="317"/>
              <w:jc w:val="center"/>
              <w:rPr>
                <w:rFonts w:ascii="Arial" w:hAnsi="Arial" w:cs="Arial"/>
                <w:sz w:val="18"/>
                <w:szCs w:val="18"/>
                <w:lang w:eastAsia="es-MX"/>
              </w:rPr>
            </w:pPr>
            <w:r>
              <w:rPr>
                <w:rFonts w:ascii="Arial" w:hAnsi="Arial" w:cs="Arial"/>
                <w:b/>
                <w:sz w:val="16"/>
                <w:szCs w:val="16"/>
                <w:lang w:eastAsia="es-MX"/>
              </w:rPr>
              <w:t>(Contribución porcentual al crecimiento nacional)</w:t>
            </w:r>
            <w:r>
              <w:rPr>
                <w:rFonts w:ascii="Arial" w:hAnsi="Arial" w:cs="Arial"/>
                <w:b/>
                <w:vertAlign w:val="superscript"/>
              </w:rPr>
              <w:t>1/</w:t>
            </w:r>
          </w:p>
        </w:tc>
      </w:tr>
    </w:tbl>
    <w:p w14:paraId="15FC64C5" w14:textId="77777777" w:rsidR="000A648D" w:rsidRDefault="000A648D" w:rsidP="000A648D">
      <w:pPr>
        <w:rPr>
          <w:szCs w:val="24"/>
        </w:rPr>
      </w:pPr>
      <w:r>
        <w:rPr>
          <w:noProof/>
          <w:lang w:val="es-MX" w:eastAsia="es-MX"/>
        </w:rPr>
        <w:lastRenderedPageBreak/>
        <w:drawing>
          <wp:inline distT="0" distB="0" distL="0" distR="0" wp14:anchorId="6D558E47" wp14:editId="064018CE">
            <wp:extent cx="5610225" cy="3324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0225" cy="3324225"/>
                    </a:xfrm>
                    <a:prstGeom prst="rect">
                      <a:avLst/>
                    </a:prstGeom>
                    <a:noFill/>
                    <a:ln>
                      <a:noFill/>
                    </a:ln>
                  </pic:spPr>
                </pic:pic>
              </a:graphicData>
            </a:graphic>
          </wp:inline>
        </w:drawing>
      </w:r>
    </w:p>
    <w:p w14:paraId="0EB2986F" w14:textId="77777777" w:rsidR="000A648D" w:rsidRDefault="000A648D" w:rsidP="000A648D">
      <w:pPr>
        <w:jc w:val="both"/>
      </w:pPr>
      <w:r>
        <w:rPr>
          <w:rFonts w:ascii="Arial" w:hAnsi="Arial" w:cs="Arial"/>
          <w:b/>
          <w:vertAlign w:val="superscript"/>
        </w:rPr>
        <w:t>1/</w:t>
      </w:r>
      <w:r>
        <w:rPr>
          <w:rFonts w:ascii="Arial" w:hAnsi="Arial" w:cs="Arial"/>
          <w:sz w:val="16"/>
          <w:szCs w:val="16"/>
        </w:rPr>
        <w:t xml:space="preserve"> La suma de los parciales puede no coincidir con el total, debido al redondeo</w:t>
      </w:r>
    </w:p>
    <w:p w14:paraId="748E9D02" w14:textId="77777777" w:rsidR="000A648D" w:rsidRDefault="000A648D" w:rsidP="000A648D">
      <w:pPr>
        <w:jc w:val="both"/>
        <w:rPr>
          <w:rFonts w:ascii="Arial" w:hAnsi="Arial" w:cs="Arial"/>
          <w:sz w:val="16"/>
          <w:szCs w:val="16"/>
          <w:lang w:val="es-ES" w:eastAsia="es-MX"/>
        </w:rPr>
      </w:pPr>
      <w:r>
        <w:rPr>
          <w:rFonts w:ascii="Arial" w:hAnsi="Arial" w:cs="Arial"/>
          <w:sz w:val="16"/>
          <w:szCs w:val="16"/>
          <w:lang w:val="es-ES" w:eastAsia="es-MX"/>
        </w:rPr>
        <w:t>p/ Cifras preliminares</w:t>
      </w:r>
    </w:p>
    <w:p w14:paraId="1E2A48E5" w14:textId="77777777" w:rsidR="000A648D" w:rsidRDefault="000A648D" w:rsidP="000A648D">
      <w:pPr>
        <w:ind w:firstLine="1"/>
        <w:jc w:val="both"/>
        <w:rPr>
          <w:rFonts w:ascii="Arial" w:hAnsi="Arial" w:cs="Arial"/>
          <w:sz w:val="24"/>
          <w:szCs w:val="24"/>
        </w:rPr>
      </w:pPr>
      <w:r>
        <w:rPr>
          <w:rFonts w:ascii="Arial" w:hAnsi="Arial" w:cs="Arial"/>
          <w:sz w:val="16"/>
          <w:szCs w:val="16"/>
          <w:lang w:val="es-ES" w:eastAsia="es-MX"/>
        </w:rPr>
        <w:t>Fuente: INEGI</w:t>
      </w:r>
    </w:p>
    <w:p w14:paraId="573B33B6" w14:textId="77777777" w:rsidR="000A648D" w:rsidRDefault="000A648D" w:rsidP="000A648D">
      <w:pPr>
        <w:rPr>
          <w:szCs w:val="24"/>
        </w:rPr>
      </w:pPr>
    </w:p>
    <w:p w14:paraId="153BA1A4" w14:textId="77777777" w:rsidR="000A648D" w:rsidRDefault="000A648D" w:rsidP="000A648D">
      <w:pPr>
        <w:rPr>
          <w:szCs w:val="24"/>
        </w:rPr>
      </w:pPr>
    </w:p>
    <w:p w14:paraId="2BB4BFDC" w14:textId="77777777" w:rsidR="000A648D" w:rsidRDefault="000A648D" w:rsidP="000A648D">
      <w:pPr>
        <w:widowControl/>
        <w:rPr>
          <w:szCs w:val="24"/>
        </w:rPr>
      </w:pPr>
      <w:r>
        <w:rPr>
          <w:szCs w:val="24"/>
        </w:rPr>
        <w:br w:type="page"/>
      </w:r>
    </w:p>
    <w:p w14:paraId="50312600" w14:textId="77777777" w:rsidR="000A648D" w:rsidRDefault="000A648D" w:rsidP="000A648D">
      <w:pPr>
        <w:jc w:val="both"/>
        <w:rPr>
          <w:rFonts w:ascii="Arial" w:hAnsi="Arial" w:cs="Arial"/>
          <w:b/>
          <w:smallCaps/>
          <w:sz w:val="24"/>
          <w:szCs w:val="24"/>
        </w:rPr>
      </w:pPr>
    </w:p>
    <w:p w14:paraId="088BA7FE" w14:textId="77777777" w:rsidR="000A648D" w:rsidRDefault="000A648D" w:rsidP="000A648D">
      <w:pPr>
        <w:jc w:val="both"/>
        <w:rPr>
          <w:rFonts w:ascii="Arial" w:hAnsi="Arial" w:cs="Arial"/>
          <w:b/>
          <w:smallCaps/>
          <w:sz w:val="24"/>
          <w:szCs w:val="24"/>
        </w:rPr>
      </w:pPr>
      <w:r>
        <w:rPr>
          <w:rFonts w:ascii="Arial" w:hAnsi="Arial" w:cs="Arial"/>
          <w:b/>
          <w:smallCaps/>
          <w:sz w:val="24"/>
          <w:szCs w:val="24"/>
        </w:rPr>
        <w:t>Nota al Usuario</w:t>
      </w:r>
    </w:p>
    <w:p w14:paraId="70B87484" w14:textId="77777777" w:rsidR="000A648D" w:rsidRDefault="000A648D" w:rsidP="000A648D">
      <w:pPr>
        <w:jc w:val="both"/>
      </w:pPr>
    </w:p>
    <w:p w14:paraId="6F5AE376" w14:textId="77777777" w:rsidR="000A648D" w:rsidRDefault="000A648D" w:rsidP="000A648D">
      <w:pPr>
        <w:autoSpaceDE w:val="0"/>
        <w:autoSpaceDN w:val="0"/>
        <w:jc w:val="both"/>
        <w:rPr>
          <w:rFonts w:ascii="Arial" w:hAnsi="Arial" w:cs="Arial"/>
          <w:sz w:val="24"/>
          <w:szCs w:val="24"/>
          <w:lang w:val="es-ES" w:eastAsia="es-MX"/>
        </w:rPr>
      </w:pPr>
      <w:r>
        <w:rPr>
          <w:rFonts w:ascii="Arial" w:hAnsi="Arial" w:cs="Arial"/>
          <w:sz w:val="24"/>
          <w:szCs w:val="24"/>
          <w:lang w:val="es-ES" w:eastAsia="es-MX"/>
        </w:rPr>
        <w:t xml:space="preserve">Las cifras de este indicador fueron actualizadas al incorporarse la última información de la estadística básica disponible y al realizarse la conciliación de los cálculos trimestrales regionales con los anuales regionales y nacionales de corto plazo del Sistema de Cuentas Nacionales de México, con base en las Cuentas de Bienes y Servicios 2017 (segunda versión), recientemente publicadas. </w:t>
      </w:r>
    </w:p>
    <w:p w14:paraId="0CD51B49" w14:textId="77777777" w:rsidR="000A648D" w:rsidRDefault="000A648D" w:rsidP="000A648D">
      <w:pPr>
        <w:tabs>
          <w:tab w:val="num" w:pos="1843"/>
          <w:tab w:val="left" w:pos="7939"/>
        </w:tabs>
        <w:spacing w:before="480"/>
        <w:ind w:right="51"/>
        <w:jc w:val="both"/>
        <w:rPr>
          <w:rFonts w:ascii="Arial" w:hAnsi="Arial" w:cs="Arial"/>
          <w:b/>
          <w:smallCaps/>
          <w:sz w:val="24"/>
          <w:szCs w:val="24"/>
        </w:rPr>
      </w:pPr>
      <w:r>
        <w:rPr>
          <w:rFonts w:ascii="Arial" w:hAnsi="Arial" w:cs="Arial"/>
          <w:b/>
          <w:smallCaps/>
          <w:sz w:val="24"/>
          <w:szCs w:val="24"/>
        </w:rPr>
        <w:t>Nota Metodológica</w:t>
      </w:r>
    </w:p>
    <w:p w14:paraId="668464E8" w14:textId="77777777" w:rsidR="000A648D" w:rsidRDefault="000A648D" w:rsidP="000A648D">
      <w:pPr>
        <w:autoSpaceDE w:val="0"/>
        <w:autoSpaceDN w:val="0"/>
        <w:adjustRightInd w:val="0"/>
        <w:spacing w:before="360"/>
        <w:jc w:val="both"/>
        <w:rPr>
          <w:rFonts w:ascii="Arial" w:hAnsi="Arial"/>
          <w:sz w:val="24"/>
          <w:lang w:val="es-MX"/>
        </w:rPr>
      </w:pPr>
      <w:r>
        <w:rPr>
          <w:rFonts w:ascii="Arial" w:hAnsi="Arial" w:cs="Arial"/>
          <w:sz w:val="24"/>
          <w:szCs w:val="24"/>
          <w:lang w:val="es-ES" w:eastAsia="es-MX"/>
        </w:rPr>
        <w:t>El ITAEE, en términos generales, sigue los mismos principios y normas contables del cálculo anual del PIB por Entidad Federativa y del PIB Trimestral, brindando información oportuna sobre el desarrollo de la situación económica de las entidades federativas del país, en el corto plazo.</w:t>
      </w:r>
    </w:p>
    <w:p w14:paraId="00200AA0" w14:textId="77777777" w:rsidR="000A648D" w:rsidRDefault="000A648D" w:rsidP="000A648D">
      <w:pPr>
        <w:autoSpaceDE w:val="0"/>
        <w:autoSpaceDN w:val="0"/>
        <w:adjustRightInd w:val="0"/>
        <w:spacing w:before="360"/>
        <w:jc w:val="both"/>
        <w:rPr>
          <w:rFonts w:ascii="Arial" w:hAnsi="Arial" w:cs="Arial"/>
          <w:sz w:val="24"/>
          <w:szCs w:val="24"/>
          <w:lang w:val="es-ES" w:eastAsia="es-MX"/>
        </w:rPr>
      </w:pPr>
      <w:r>
        <w:rPr>
          <w:rFonts w:ascii="Arial" w:hAnsi="Arial" w:cs="Arial"/>
          <w:sz w:val="24"/>
          <w:szCs w:val="24"/>
          <w:lang w:val="es-ES" w:eastAsia="es-MX"/>
        </w:rPr>
        <w:t xml:space="preserve">Los cálculos estatales de corto plazo que efectúa el SCNM, tienen su base en agregaciones de la información </w:t>
      </w:r>
      <w:r>
        <w:rPr>
          <w:rFonts w:ascii="Arial" w:hAnsi="Arial" w:cs="Arial"/>
          <w:sz w:val="24"/>
          <w:szCs w:val="24"/>
          <w:lang w:val="es-ES" w:eastAsia="es-MX"/>
        </w:rPr>
        <w:lastRenderedPageBreak/>
        <w:t>estadística básica del INEGI, tales como censos económicos y de población, encuestas como las industriales, del comercio, construcción y empleo, además de estadísticas como la minero-metalúrgica, y las asociadas al transporte; asimismo, se aprovecharon los registros administrativos de empresas públicas y privadas.  De esta manera, el Instituto aporta un enorme acervo estadístico para los cálculos del indicador.</w:t>
      </w:r>
    </w:p>
    <w:p w14:paraId="684456A4" w14:textId="77777777" w:rsidR="000A648D" w:rsidRDefault="000A648D" w:rsidP="000A648D">
      <w:pPr>
        <w:autoSpaceDE w:val="0"/>
        <w:autoSpaceDN w:val="0"/>
        <w:adjustRightInd w:val="0"/>
        <w:spacing w:before="360"/>
        <w:jc w:val="both"/>
        <w:rPr>
          <w:rFonts w:ascii="Arial" w:hAnsi="Arial" w:cs="Arial"/>
          <w:sz w:val="24"/>
          <w:szCs w:val="24"/>
          <w:lang w:val="es-ES" w:eastAsia="es-MX"/>
        </w:rPr>
      </w:pPr>
      <w:r>
        <w:rPr>
          <w:rFonts w:ascii="Arial" w:hAnsi="Arial" w:cs="Arial"/>
          <w:sz w:val="24"/>
          <w:szCs w:val="24"/>
          <w:lang w:val="es-ES" w:eastAsia="es-MX"/>
        </w:rPr>
        <w:t xml:space="preserve">Entre la información obtenida de fuentes externas al Instituto, se puede mencionar la suministrada por la Secretaría de Agricultura y Desarrollo Rural (SADER); por el Instituto Nacional de Pesca y Acuacultura (INAPESCA);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w:t>
      </w:r>
      <w:r>
        <w:rPr>
          <w:rFonts w:ascii="Arial" w:hAnsi="Arial" w:cs="Arial"/>
          <w:sz w:val="24"/>
          <w:szCs w:val="24"/>
          <w:lang w:val="es-ES" w:eastAsia="es-MX"/>
        </w:rPr>
        <w:lastRenderedPageBreak/>
        <w:t>(SEP); por el Instituto de Seguridad y Servicios Sociales de los Trabajadores del Estado (ISSSTE); por la Secretaría de Turismo (SECTUR) y por las Cuentas de la Hacienda Pública de los Gobiernos Locales (Estatales) y del Gobierno de la Ciudad de México, entre otras.</w:t>
      </w:r>
    </w:p>
    <w:p w14:paraId="20BCCC77" w14:textId="77777777" w:rsidR="000A648D" w:rsidRDefault="000A648D" w:rsidP="000A648D">
      <w:pPr>
        <w:autoSpaceDE w:val="0"/>
        <w:autoSpaceDN w:val="0"/>
        <w:adjustRightInd w:val="0"/>
        <w:spacing w:before="360"/>
        <w:jc w:val="both"/>
        <w:rPr>
          <w:rFonts w:ascii="Arial" w:hAnsi="Arial"/>
          <w:sz w:val="24"/>
          <w:lang w:val="es-MX"/>
        </w:rPr>
      </w:pPr>
      <w:r>
        <w:rPr>
          <w:rFonts w:ascii="Arial" w:hAnsi="Arial"/>
          <w:sz w:val="24"/>
          <w:lang w:val="es-MX"/>
        </w:rPr>
        <w:t xml:space="preserve">El ordenamiento de las actividades económicas se realizó de acuerdo al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 </w:t>
      </w:r>
    </w:p>
    <w:p w14:paraId="05FCAEE6" w14:textId="77777777" w:rsidR="000A648D" w:rsidRDefault="000A648D" w:rsidP="000A648D">
      <w:pPr>
        <w:autoSpaceDE w:val="0"/>
        <w:autoSpaceDN w:val="0"/>
        <w:adjustRightInd w:val="0"/>
        <w:spacing w:before="360"/>
        <w:jc w:val="both"/>
        <w:rPr>
          <w:rFonts w:ascii="Arial" w:hAnsi="Arial" w:cs="Arial"/>
          <w:sz w:val="24"/>
          <w:szCs w:val="24"/>
          <w:lang w:val="es-ES" w:eastAsia="es-MX"/>
        </w:rPr>
      </w:pPr>
    </w:p>
    <w:p w14:paraId="49CE73D6" w14:textId="77777777" w:rsidR="000A648D" w:rsidRDefault="000A648D" w:rsidP="000A648D">
      <w:pPr>
        <w:autoSpaceDE w:val="0"/>
        <w:autoSpaceDN w:val="0"/>
        <w:adjustRightInd w:val="0"/>
        <w:spacing w:before="360"/>
        <w:jc w:val="both"/>
        <w:rPr>
          <w:rFonts w:ascii="Arial" w:hAnsi="Arial" w:cs="Arial"/>
          <w:sz w:val="24"/>
          <w:szCs w:val="24"/>
          <w:lang w:val="es-MX"/>
        </w:rPr>
      </w:pPr>
      <w:r>
        <w:rPr>
          <w:rFonts w:ascii="Arial" w:hAnsi="Arial" w:cs="Arial"/>
          <w:sz w:val="24"/>
          <w:szCs w:val="24"/>
          <w:lang w:val="es-ES" w:eastAsia="es-MX"/>
        </w:rPr>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w:t>
      </w:r>
      <w:r>
        <w:rPr>
          <w:rFonts w:ascii="Arial" w:hAnsi="Arial" w:cs="Arial"/>
          <w:sz w:val="24"/>
          <w:szCs w:val="24"/>
          <w:lang w:val="es-ES" w:eastAsia="es-MX"/>
        </w:rPr>
        <w:lastRenderedPageBreak/>
        <w:t>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03EC11F" w14:textId="77777777" w:rsidR="000A648D" w:rsidRDefault="000A648D" w:rsidP="000A648D">
      <w:pPr>
        <w:pStyle w:val="Textoindependiente"/>
        <w:spacing w:before="360"/>
        <w:ind w:right="51"/>
        <w:rPr>
          <w:rFonts w:cs="Arial"/>
          <w:szCs w:val="24"/>
          <w:lang w:val="es-ES" w:eastAsia="es-MX"/>
        </w:rPr>
      </w:pPr>
      <w:r>
        <w:rPr>
          <w:rFonts w:cs="Arial"/>
          <w:szCs w:val="24"/>
          <w:lang w:val="es-ES" w:eastAsia="es-MX"/>
        </w:rPr>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528376B6" w14:textId="77777777" w:rsidR="000A648D" w:rsidRDefault="000A648D" w:rsidP="000A648D">
      <w:pPr>
        <w:pStyle w:val="Textoindependiente"/>
        <w:spacing w:before="360"/>
        <w:ind w:right="51"/>
        <w:rPr>
          <w:lang w:val="es-MX"/>
        </w:rPr>
      </w:pPr>
      <w:r>
        <w:rPr>
          <w:lang w:val="es-MX"/>
        </w:rPr>
        <w:t xml:space="preserve">Las series del ITAEE, podrán ser consultadas en la sección PIB y Cuentas Nacionales de México </w:t>
      </w:r>
      <w:hyperlink r:id="rId41" w:history="1">
        <w:r>
          <w:rPr>
            <w:rStyle w:val="Hipervnculo"/>
          </w:rPr>
          <w:t>https://www.inegi.org.mx/temas/itaee/</w:t>
        </w:r>
      </w:hyperlink>
      <w:r>
        <w:rPr>
          <w:lang w:val="es-MX"/>
        </w:rPr>
        <w:t xml:space="preserve"> </w:t>
      </w:r>
      <w:r>
        <w:t xml:space="preserve">y </w:t>
      </w:r>
      <w:hyperlink r:id="rId42" w:history="1">
        <w:r>
          <w:rPr>
            <w:rStyle w:val="Hipervnculo"/>
          </w:rPr>
          <w:t>https://www.inegi.org.mx/programas/itaee/2013/</w:t>
        </w:r>
      </w:hyperlink>
      <w:r>
        <w:t>, así como</w:t>
      </w:r>
      <w:r>
        <w:rPr>
          <w:lang w:val="es-MX"/>
        </w:rPr>
        <w:t xml:space="preserve"> en el Banco de Información Económica (BIE), de la página en Internet del Instituto</w:t>
      </w:r>
      <w:r>
        <w:t xml:space="preserve"> </w:t>
      </w:r>
      <w:hyperlink r:id="rId43" w:history="1">
        <w:r>
          <w:rPr>
            <w:rStyle w:val="Hipervnculo"/>
            <w:lang w:val="es-MX"/>
          </w:rPr>
          <w:t>www.inegi.org.mx</w:t>
        </w:r>
      </w:hyperlink>
      <w:r>
        <w:rPr>
          <w:lang w:val="es-MX"/>
        </w:rPr>
        <w:t>.</w:t>
      </w:r>
    </w:p>
    <w:p w14:paraId="186E03A7" w14:textId="77777777" w:rsidR="000A648D" w:rsidRDefault="000A648D" w:rsidP="000A648D">
      <w:pPr>
        <w:pStyle w:val="Textoindependiente"/>
        <w:spacing w:before="360"/>
        <w:ind w:right="51"/>
        <w:rPr>
          <w:lang w:val="es-MX"/>
        </w:rPr>
      </w:pPr>
    </w:p>
    <w:p w14:paraId="4F8EE7D9" w14:textId="77777777" w:rsidR="000A648D" w:rsidRDefault="000A648D" w:rsidP="000A648D">
      <w:pPr>
        <w:pStyle w:val="bullet"/>
        <w:ind w:left="360" w:hanging="360"/>
        <w:jc w:val="center"/>
        <w:rPr>
          <w:sz w:val="24"/>
          <w:szCs w:val="24"/>
        </w:rPr>
      </w:pPr>
      <w:r>
        <w:rPr>
          <w:sz w:val="24"/>
          <w:szCs w:val="24"/>
        </w:rPr>
        <w:lastRenderedPageBreak/>
        <w:t>* * * * * *</w:t>
      </w:r>
    </w:p>
    <w:p w14:paraId="386142EE" w14:textId="77777777" w:rsidR="000A648D" w:rsidRDefault="000A648D" w:rsidP="000A648D">
      <w:pPr>
        <w:rPr>
          <w:szCs w:val="24"/>
        </w:rPr>
      </w:pPr>
    </w:p>
    <w:p w14:paraId="065168CD" w14:textId="77777777" w:rsidR="000A648D" w:rsidRDefault="000A648D" w:rsidP="000A648D">
      <w:pPr>
        <w:ind w:left="708" w:firstLine="708"/>
        <w:rPr>
          <w:rFonts w:ascii="Arial" w:hAnsi="Arial" w:cs="Arial"/>
          <w:sz w:val="16"/>
          <w:szCs w:val="16"/>
          <w:lang w:val="es-ES" w:eastAsia="es-MX"/>
        </w:rPr>
      </w:pPr>
    </w:p>
    <w:p w14:paraId="7C2E26C2" w14:textId="77777777" w:rsidR="004A6216" w:rsidRDefault="004A6216" w:rsidP="000A648D">
      <w:pPr>
        <w:tabs>
          <w:tab w:val="num" w:pos="1843"/>
          <w:tab w:val="left" w:pos="7939"/>
        </w:tabs>
        <w:ind w:right="51"/>
        <w:jc w:val="both"/>
      </w:pPr>
    </w:p>
    <w:sectPr w:rsidR="004A6216" w:rsidSect="003B0D99">
      <w:headerReference w:type="default" r:id="rId44"/>
      <w:footerReference w:type="default" r:id="rId45"/>
      <w:pgSz w:w="12242" w:h="15842" w:code="1"/>
      <w:pgMar w:top="1690" w:right="1701" w:bottom="709" w:left="1701" w:header="425"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2287" w14:textId="77777777" w:rsidR="00AA354D" w:rsidRDefault="00AA354D">
      <w:r>
        <w:separator/>
      </w:r>
    </w:p>
  </w:endnote>
  <w:endnote w:type="continuationSeparator" w:id="0">
    <w:p w14:paraId="217A6364" w14:textId="77777777" w:rsidR="00AA354D" w:rsidRDefault="00A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14FD" w14:textId="77777777" w:rsidR="0039220C" w:rsidRDefault="0039220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783A" w14:textId="77777777" w:rsidR="003B0D99" w:rsidRPr="00890D68" w:rsidRDefault="003B0D99" w:rsidP="00890D68">
    <w:pPr>
      <w:pStyle w:val="Piedepgina"/>
      <w:jc w:val="center"/>
      <w:rPr>
        <w:rFonts w:ascii="Arial" w:hAnsi="Arial" w:cs="Arial"/>
        <w:b/>
        <w:color w:val="002060"/>
      </w:rPr>
    </w:pPr>
    <w:r w:rsidRPr="00890D68">
      <w:rPr>
        <w:rFonts w:ascii="Arial" w:hAnsi="Arial" w:cs="Arial"/>
        <w:b/>
        <w:color w:val="002060"/>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6A6C" w14:textId="77777777" w:rsidR="0039220C" w:rsidRDefault="0039220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CBFA" w14:textId="77777777" w:rsidR="00492900" w:rsidRPr="00150172" w:rsidRDefault="00492900">
    <w:pPr>
      <w:pStyle w:val="Piedepgina"/>
      <w:jc w:val="center"/>
      <w:rPr>
        <w:rFonts w:ascii="Arial" w:hAnsi="Arial" w:cs="Arial"/>
        <w:b/>
        <w:color w:val="002060"/>
      </w:rPr>
    </w:pPr>
    <w:r w:rsidRPr="00150172">
      <w:rPr>
        <w:rFonts w:ascii="Arial" w:hAnsi="Arial" w:cs="Arial"/>
        <w:b/>
        <w:color w:val="002060"/>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45699" w14:textId="77777777" w:rsidR="00AA354D" w:rsidRDefault="00AA354D">
      <w:r>
        <w:separator/>
      </w:r>
    </w:p>
  </w:footnote>
  <w:footnote w:type="continuationSeparator" w:id="0">
    <w:p w14:paraId="2EDBCBC2" w14:textId="77777777" w:rsidR="00AA354D" w:rsidRDefault="00AA354D">
      <w:r>
        <w:continuationSeparator/>
      </w:r>
    </w:p>
  </w:footnote>
  <w:footnote w:id="1">
    <w:p w14:paraId="283103CB" w14:textId="77777777" w:rsidR="00492900" w:rsidRPr="00175DC1" w:rsidRDefault="00492900" w:rsidP="003B0D99">
      <w:pPr>
        <w:pStyle w:val="Textonotapie"/>
        <w:ind w:right="21"/>
        <w:jc w:val="both"/>
        <w:rPr>
          <w:rFonts w:cs="Arial"/>
          <w:b/>
          <w:sz w:val="16"/>
          <w:szCs w:val="16"/>
        </w:rPr>
      </w:pPr>
      <w:r w:rsidRPr="003C1F6B">
        <w:rPr>
          <w:rStyle w:val="Refdenotaalpie"/>
          <w:rFonts w:ascii="Arial" w:hAnsi="Arial"/>
          <w:sz w:val="16"/>
          <w:szCs w:val="16"/>
        </w:rPr>
        <w:footnoteRef/>
      </w:r>
      <w:r w:rsidRPr="003C1F6B">
        <w:rPr>
          <w:rFonts w:ascii="Arial" w:hAnsi="Arial" w:cs="Arial"/>
          <w:sz w:val="16"/>
          <w:szCs w:val="16"/>
        </w:rPr>
        <w:t xml:space="preserve"> </w:t>
      </w:r>
      <w:r>
        <w:rPr>
          <w:rFonts w:ascii="Arial" w:hAnsi="Arial" w:cs="Arial"/>
          <w:color w:val="000000"/>
          <w:sz w:val="16"/>
          <w:szCs w:val="16"/>
          <w:bdr w:val="none" w:sz="0" w:space="0" w:color="auto" w:frame="1"/>
        </w:rPr>
        <w:t>Cabe señalar que el dato anual del ITAEE, puede considerarse como un resultado preliminar de la tendencia del Producto Interno Bruto por Entidad Federativa (PIBE).</w:t>
      </w:r>
    </w:p>
    <w:p w14:paraId="7B6B5A2F" w14:textId="77777777" w:rsidR="00492900" w:rsidRPr="003C1F6B" w:rsidRDefault="00492900" w:rsidP="00620102">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83CC" w14:textId="77777777" w:rsidR="0039220C" w:rsidRDefault="0039220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3795" w14:textId="55C1861C" w:rsidR="00BC72F2" w:rsidRDefault="00BC72F2" w:rsidP="00BC72F2">
    <w:pPr>
      <w:pStyle w:val="Encabezado"/>
      <w:framePr w:w="5638" w:hSpace="141" w:wrap="auto" w:vAnchor="text" w:hAnchor="page" w:x="5455" w:y="31"/>
      <w:ind w:left="567" w:hanging="11"/>
      <w:jc w:val="right"/>
      <w:rPr>
        <w:rFonts w:ascii="Arial" w:hAnsi="Arial" w:cs="Arial"/>
        <w:b/>
        <w:snapToGrid/>
        <w:color w:val="002060"/>
        <w:sz w:val="24"/>
        <w:szCs w:val="24"/>
      </w:rPr>
    </w:pPr>
    <w:r>
      <w:rPr>
        <w:rFonts w:ascii="Arial" w:hAnsi="Arial" w:cs="Arial"/>
        <w:b/>
        <w:color w:val="002060"/>
        <w:sz w:val="24"/>
        <w:szCs w:val="24"/>
      </w:rPr>
      <w:t>C</w:t>
    </w:r>
    <w:r w:rsidR="0039220C">
      <w:rPr>
        <w:rFonts w:ascii="Arial" w:hAnsi="Arial" w:cs="Arial"/>
        <w:b/>
        <w:color w:val="002060"/>
        <w:sz w:val="24"/>
        <w:szCs w:val="24"/>
      </w:rPr>
      <w:t>OMUNICADO DE PRENSA NÚM. 385</w:t>
    </w:r>
    <w:r>
      <w:rPr>
        <w:rFonts w:ascii="Arial" w:hAnsi="Arial" w:cs="Arial"/>
        <w:b/>
        <w:color w:val="002060"/>
        <w:sz w:val="24"/>
        <w:szCs w:val="24"/>
      </w:rPr>
      <w:t>/19</w:t>
    </w:r>
  </w:p>
  <w:p w14:paraId="46951BC8" w14:textId="1014D39A" w:rsidR="00BC72F2" w:rsidRDefault="0039220C" w:rsidP="00BC72F2">
    <w:pPr>
      <w:pStyle w:val="Encabezado"/>
      <w:framePr w:w="5638" w:hSpace="141" w:wrap="auto" w:vAnchor="text" w:hAnchor="page" w:x="5455" w:y="31"/>
      <w:ind w:left="567" w:hanging="11"/>
      <w:jc w:val="right"/>
      <w:rPr>
        <w:rFonts w:ascii="Arial" w:hAnsi="Arial" w:cs="Arial"/>
        <w:b/>
        <w:color w:val="002060"/>
        <w:sz w:val="24"/>
        <w:szCs w:val="24"/>
        <w:lang w:val="pt-BR"/>
      </w:rPr>
    </w:pPr>
    <w:r>
      <w:rPr>
        <w:rFonts w:ascii="Arial" w:hAnsi="Arial" w:cs="Arial"/>
        <w:b/>
        <w:color w:val="002060"/>
        <w:sz w:val="24"/>
        <w:szCs w:val="24"/>
        <w:lang w:val="pt-BR"/>
      </w:rPr>
      <w:t>31</w:t>
    </w:r>
    <w:bookmarkStart w:id="0" w:name="_GoBack"/>
    <w:bookmarkEnd w:id="0"/>
    <w:r w:rsidR="00BC72F2">
      <w:rPr>
        <w:rFonts w:ascii="Arial" w:hAnsi="Arial" w:cs="Arial"/>
        <w:b/>
        <w:color w:val="002060"/>
        <w:sz w:val="24"/>
        <w:szCs w:val="24"/>
        <w:lang w:val="pt-BR"/>
      </w:rPr>
      <w:t xml:space="preserve"> DE </w:t>
    </w:r>
    <w:r w:rsidR="00261494">
      <w:rPr>
        <w:rFonts w:ascii="Arial" w:hAnsi="Arial" w:cs="Arial"/>
        <w:b/>
        <w:color w:val="002060"/>
        <w:sz w:val="24"/>
        <w:szCs w:val="24"/>
        <w:lang w:val="pt-BR"/>
      </w:rPr>
      <w:t>JULIO</w:t>
    </w:r>
    <w:r w:rsidR="00BC72F2">
      <w:rPr>
        <w:rFonts w:ascii="Arial" w:hAnsi="Arial" w:cs="Arial"/>
        <w:b/>
        <w:color w:val="002060"/>
        <w:sz w:val="24"/>
        <w:szCs w:val="24"/>
        <w:lang w:val="pt-BR"/>
      </w:rPr>
      <w:t xml:space="preserve"> DE 2019</w:t>
    </w:r>
  </w:p>
  <w:p w14:paraId="61579A86" w14:textId="5C185E4F" w:rsidR="00BC72F2" w:rsidRDefault="00BC72F2" w:rsidP="00BC72F2">
    <w:pPr>
      <w:pStyle w:val="Encabezado"/>
      <w:framePr w:w="5638" w:hSpace="141" w:wrap="auto" w:vAnchor="text" w:hAnchor="page" w:x="5455" w:y="31"/>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PÁGINA </w:t>
    </w:r>
    <w:r>
      <w:rPr>
        <w:rFonts w:ascii="Arial" w:hAnsi="Arial" w:cs="Arial"/>
        <w:b/>
        <w:color w:val="002060"/>
        <w:sz w:val="24"/>
        <w:szCs w:val="24"/>
      </w:rPr>
      <w:fldChar w:fldCharType="begin"/>
    </w:r>
    <w:r>
      <w:rPr>
        <w:rFonts w:ascii="Arial" w:hAnsi="Arial" w:cs="Arial"/>
        <w:b/>
        <w:color w:val="002060"/>
        <w:sz w:val="24"/>
        <w:szCs w:val="24"/>
        <w:lang w:val="pt-BR"/>
      </w:rPr>
      <w:instrText xml:space="preserve">\PAGE </w:instrText>
    </w:r>
    <w:r>
      <w:rPr>
        <w:rFonts w:ascii="Arial" w:hAnsi="Arial" w:cs="Arial"/>
        <w:b/>
        <w:color w:val="002060"/>
        <w:sz w:val="24"/>
        <w:szCs w:val="24"/>
      </w:rPr>
      <w:fldChar w:fldCharType="separate"/>
    </w:r>
    <w:r w:rsidR="0039220C">
      <w:rPr>
        <w:rFonts w:ascii="Arial" w:hAnsi="Arial" w:cs="Arial"/>
        <w:b/>
        <w:noProof/>
        <w:color w:val="002060"/>
        <w:sz w:val="24"/>
        <w:szCs w:val="24"/>
        <w:lang w:val="pt-BR"/>
      </w:rPr>
      <w:t>1</w:t>
    </w:r>
    <w:r>
      <w:rPr>
        <w:rFonts w:ascii="Arial" w:hAnsi="Arial" w:cs="Arial"/>
        <w:color w:val="002060"/>
        <w:sz w:val="24"/>
        <w:szCs w:val="24"/>
      </w:rPr>
      <w:fldChar w:fldCharType="end"/>
    </w:r>
    <w:r>
      <w:rPr>
        <w:rFonts w:ascii="Arial" w:hAnsi="Arial" w:cs="Arial"/>
        <w:b/>
        <w:color w:val="002060"/>
        <w:sz w:val="24"/>
        <w:szCs w:val="24"/>
        <w:lang w:val="pt-BR"/>
      </w:rPr>
      <w:t>/1</w:t>
    </w:r>
  </w:p>
  <w:p w14:paraId="78D002D5" w14:textId="77777777" w:rsidR="003B0D99" w:rsidRPr="00BC72F2" w:rsidRDefault="00BC72F2" w:rsidP="00BC72F2">
    <w:pPr>
      <w:pStyle w:val="Encabezado"/>
      <w:ind w:left="-567"/>
    </w:pPr>
    <w:r>
      <w:rPr>
        <w:noProof/>
        <w:lang w:val="es-MX" w:eastAsia="es-MX"/>
      </w:rPr>
      <w:drawing>
        <wp:inline distT="0" distB="0" distL="0" distR="0" wp14:anchorId="66A0BF5A" wp14:editId="3FD9DD33">
          <wp:extent cx="927100" cy="9652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F1AE" w14:textId="77777777" w:rsidR="0039220C" w:rsidRDefault="0039220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D49" w14:textId="77777777" w:rsidR="00913DE0" w:rsidRDefault="00913DE0" w:rsidP="00913DE0">
    <w:pPr>
      <w:pStyle w:val="Encabezado"/>
      <w:jc w:val="center"/>
      <w:rPr>
        <w:snapToGrid/>
      </w:rPr>
    </w:pPr>
    <w:r>
      <w:rPr>
        <w:noProof/>
        <w:lang w:val="es-MX" w:eastAsia="es-MX"/>
      </w:rPr>
      <w:drawing>
        <wp:inline distT="0" distB="0" distL="0" distR="0" wp14:anchorId="2407D0E2" wp14:editId="5AE54265">
          <wp:extent cx="933450" cy="965200"/>
          <wp:effectExtent l="0" t="0" r="0" b="6350"/>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345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14575D"/>
    <w:multiLevelType w:val="hybridMultilevel"/>
    <w:tmpl w:val="B0E4A074"/>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 w15:restartNumberingAfterBreak="0">
    <w:nsid w:val="11EB0894"/>
    <w:multiLevelType w:val="hybridMultilevel"/>
    <w:tmpl w:val="99DE5BAE"/>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3" w15:restartNumberingAfterBreak="0">
    <w:nsid w:val="12672ECC"/>
    <w:multiLevelType w:val="hybridMultilevel"/>
    <w:tmpl w:val="EB20C3C8"/>
    <w:lvl w:ilvl="0" w:tplc="3E6E5950">
      <w:start w:val="1"/>
      <w:numFmt w:val="bullet"/>
      <w:lvlText w:val="●"/>
      <w:lvlJc w:val="left"/>
      <w:pPr>
        <w:tabs>
          <w:tab w:val="num" w:pos="928"/>
        </w:tabs>
        <w:ind w:left="928" w:hanging="360"/>
      </w:pPr>
      <w:rPr>
        <w:rFonts w:ascii="Verdana" w:hAnsi="Verdana"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 w15:restartNumberingAfterBreak="0">
    <w:nsid w:val="18B769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9C5DA5"/>
    <w:multiLevelType w:val="singleLevel"/>
    <w:tmpl w:val="FFFFFFFF"/>
    <w:lvl w:ilvl="0">
      <w:numFmt w:val="decimal"/>
      <w:lvlText w:val="*"/>
      <w:lvlJc w:val="left"/>
    </w:lvl>
  </w:abstractNum>
  <w:abstractNum w:abstractNumId="6" w15:restartNumberingAfterBreak="0">
    <w:nsid w:val="3538691E"/>
    <w:multiLevelType w:val="hybridMultilevel"/>
    <w:tmpl w:val="E2DA8880"/>
    <w:lvl w:ilvl="0" w:tplc="0C0A0001">
      <w:start w:val="1"/>
      <w:numFmt w:val="bullet"/>
      <w:lvlText w:val=""/>
      <w:lvlJc w:val="left"/>
      <w:pPr>
        <w:tabs>
          <w:tab w:val="num" w:pos="1430"/>
        </w:tabs>
        <w:ind w:left="1430" w:hanging="360"/>
      </w:pPr>
      <w:rPr>
        <w:rFonts w:ascii="Symbol" w:hAnsi="Symbol" w:hint="default"/>
      </w:rPr>
    </w:lvl>
    <w:lvl w:ilvl="1" w:tplc="0C0A0003" w:tentative="1">
      <w:start w:val="1"/>
      <w:numFmt w:val="bullet"/>
      <w:lvlText w:val="o"/>
      <w:lvlJc w:val="left"/>
      <w:pPr>
        <w:tabs>
          <w:tab w:val="num" w:pos="2150"/>
        </w:tabs>
        <w:ind w:left="2150" w:hanging="360"/>
      </w:pPr>
      <w:rPr>
        <w:rFonts w:ascii="Courier New" w:hAnsi="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38A316A5"/>
    <w:multiLevelType w:val="hybridMultilevel"/>
    <w:tmpl w:val="F83226FE"/>
    <w:lvl w:ilvl="0" w:tplc="3E6E5950">
      <w:start w:val="1"/>
      <w:numFmt w:val="bullet"/>
      <w:lvlText w:val="●"/>
      <w:lvlJc w:val="left"/>
      <w:pPr>
        <w:tabs>
          <w:tab w:val="num" w:pos="720"/>
        </w:tabs>
        <w:ind w:left="720" w:hanging="360"/>
      </w:pPr>
      <w:rPr>
        <w:rFonts w:ascii="Verdana" w:hAnsi="Verdana" w:hint="default"/>
      </w:rPr>
    </w:lvl>
    <w:lvl w:ilvl="1" w:tplc="DB2A9942" w:tentative="1">
      <w:start w:val="1"/>
      <w:numFmt w:val="bullet"/>
      <w:lvlText w:val="●"/>
      <w:lvlJc w:val="left"/>
      <w:pPr>
        <w:tabs>
          <w:tab w:val="num" w:pos="1440"/>
        </w:tabs>
        <w:ind w:left="1440" w:hanging="360"/>
      </w:pPr>
      <w:rPr>
        <w:rFonts w:ascii="Verdana" w:hAnsi="Verdana" w:hint="default"/>
      </w:rPr>
    </w:lvl>
    <w:lvl w:ilvl="2" w:tplc="26AC1218" w:tentative="1">
      <w:start w:val="1"/>
      <w:numFmt w:val="bullet"/>
      <w:lvlText w:val="●"/>
      <w:lvlJc w:val="left"/>
      <w:pPr>
        <w:tabs>
          <w:tab w:val="num" w:pos="2160"/>
        </w:tabs>
        <w:ind w:left="2160" w:hanging="360"/>
      </w:pPr>
      <w:rPr>
        <w:rFonts w:ascii="Verdana" w:hAnsi="Verdana" w:hint="default"/>
      </w:rPr>
    </w:lvl>
    <w:lvl w:ilvl="3" w:tplc="A3126ED6" w:tentative="1">
      <w:start w:val="1"/>
      <w:numFmt w:val="bullet"/>
      <w:lvlText w:val="●"/>
      <w:lvlJc w:val="left"/>
      <w:pPr>
        <w:tabs>
          <w:tab w:val="num" w:pos="2880"/>
        </w:tabs>
        <w:ind w:left="2880" w:hanging="360"/>
      </w:pPr>
      <w:rPr>
        <w:rFonts w:ascii="Verdana" w:hAnsi="Verdana" w:hint="default"/>
      </w:rPr>
    </w:lvl>
    <w:lvl w:ilvl="4" w:tplc="9B92B028" w:tentative="1">
      <w:start w:val="1"/>
      <w:numFmt w:val="bullet"/>
      <w:lvlText w:val="●"/>
      <w:lvlJc w:val="left"/>
      <w:pPr>
        <w:tabs>
          <w:tab w:val="num" w:pos="3600"/>
        </w:tabs>
        <w:ind w:left="3600" w:hanging="360"/>
      </w:pPr>
      <w:rPr>
        <w:rFonts w:ascii="Verdana" w:hAnsi="Verdana" w:hint="default"/>
      </w:rPr>
    </w:lvl>
    <w:lvl w:ilvl="5" w:tplc="7F4E5F3E" w:tentative="1">
      <w:start w:val="1"/>
      <w:numFmt w:val="bullet"/>
      <w:lvlText w:val="●"/>
      <w:lvlJc w:val="left"/>
      <w:pPr>
        <w:tabs>
          <w:tab w:val="num" w:pos="4320"/>
        </w:tabs>
        <w:ind w:left="4320" w:hanging="360"/>
      </w:pPr>
      <w:rPr>
        <w:rFonts w:ascii="Verdana" w:hAnsi="Verdana" w:hint="default"/>
      </w:rPr>
    </w:lvl>
    <w:lvl w:ilvl="6" w:tplc="2C5C1F30" w:tentative="1">
      <w:start w:val="1"/>
      <w:numFmt w:val="bullet"/>
      <w:lvlText w:val="●"/>
      <w:lvlJc w:val="left"/>
      <w:pPr>
        <w:tabs>
          <w:tab w:val="num" w:pos="5040"/>
        </w:tabs>
        <w:ind w:left="5040" w:hanging="360"/>
      </w:pPr>
      <w:rPr>
        <w:rFonts w:ascii="Verdana" w:hAnsi="Verdana" w:hint="default"/>
      </w:rPr>
    </w:lvl>
    <w:lvl w:ilvl="7" w:tplc="F50461D6" w:tentative="1">
      <w:start w:val="1"/>
      <w:numFmt w:val="bullet"/>
      <w:lvlText w:val="●"/>
      <w:lvlJc w:val="left"/>
      <w:pPr>
        <w:tabs>
          <w:tab w:val="num" w:pos="5760"/>
        </w:tabs>
        <w:ind w:left="5760" w:hanging="360"/>
      </w:pPr>
      <w:rPr>
        <w:rFonts w:ascii="Verdana" w:hAnsi="Verdana" w:hint="default"/>
      </w:rPr>
    </w:lvl>
    <w:lvl w:ilvl="8" w:tplc="B91AD336"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3996794F"/>
    <w:multiLevelType w:val="hybridMultilevel"/>
    <w:tmpl w:val="49940BD4"/>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9" w15:restartNumberingAfterBreak="0">
    <w:nsid w:val="3ABF6206"/>
    <w:multiLevelType w:val="hybridMultilevel"/>
    <w:tmpl w:val="7A08F3FA"/>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0" w15:restartNumberingAfterBreak="0">
    <w:nsid w:val="3D9116EC"/>
    <w:multiLevelType w:val="hybridMultilevel"/>
    <w:tmpl w:val="21F05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33166E"/>
    <w:multiLevelType w:val="singleLevel"/>
    <w:tmpl w:val="FFFFFFFF"/>
    <w:lvl w:ilvl="0">
      <w:numFmt w:val="decimal"/>
      <w:lvlText w:val="*"/>
      <w:lvlJc w:val="left"/>
    </w:lvl>
  </w:abstractNum>
  <w:abstractNum w:abstractNumId="12" w15:restartNumberingAfterBreak="0">
    <w:nsid w:val="4BF654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1B21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FA2628"/>
    <w:multiLevelType w:val="singleLevel"/>
    <w:tmpl w:val="FFFFFFFF"/>
    <w:lvl w:ilvl="0">
      <w:numFmt w:val="decimal"/>
      <w:lvlText w:val="*"/>
      <w:lvlJc w:val="left"/>
    </w:lvl>
  </w:abstractNum>
  <w:abstractNum w:abstractNumId="15" w15:restartNumberingAfterBreak="0">
    <w:nsid w:val="6EF80039"/>
    <w:multiLevelType w:val="hybridMultilevel"/>
    <w:tmpl w:val="90D00274"/>
    <w:lvl w:ilvl="0" w:tplc="62E419C4">
      <w:start w:val="1"/>
      <w:numFmt w:val="bullet"/>
      <w:lvlText w:val="●"/>
      <w:lvlJc w:val="left"/>
      <w:pPr>
        <w:tabs>
          <w:tab w:val="num" w:pos="720"/>
        </w:tabs>
        <w:ind w:left="720" w:hanging="360"/>
      </w:pPr>
      <w:rPr>
        <w:rFonts w:ascii="Verdana" w:hAnsi="Verdana" w:hint="default"/>
      </w:rPr>
    </w:lvl>
    <w:lvl w:ilvl="1" w:tplc="D6449AF6" w:tentative="1">
      <w:start w:val="1"/>
      <w:numFmt w:val="bullet"/>
      <w:lvlText w:val="●"/>
      <w:lvlJc w:val="left"/>
      <w:pPr>
        <w:tabs>
          <w:tab w:val="num" w:pos="1440"/>
        </w:tabs>
        <w:ind w:left="1440" w:hanging="360"/>
      </w:pPr>
      <w:rPr>
        <w:rFonts w:ascii="Verdana" w:hAnsi="Verdana" w:hint="default"/>
      </w:rPr>
    </w:lvl>
    <w:lvl w:ilvl="2" w:tplc="7F928E92" w:tentative="1">
      <w:start w:val="1"/>
      <w:numFmt w:val="bullet"/>
      <w:lvlText w:val="●"/>
      <w:lvlJc w:val="left"/>
      <w:pPr>
        <w:tabs>
          <w:tab w:val="num" w:pos="2160"/>
        </w:tabs>
        <w:ind w:left="2160" w:hanging="360"/>
      </w:pPr>
      <w:rPr>
        <w:rFonts w:ascii="Verdana" w:hAnsi="Verdana" w:hint="default"/>
      </w:rPr>
    </w:lvl>
    <w:lvl w:ilvl="3" w:tplc="DDACD0CC" w:tentative="1">
      <w:start w:val="1"/>
      <w:numFmt w:val="bullet"/>
      <w:lvlText w:val="●"/>
      <w:lvlJc w:val="left"/>
      <w:pPr>
        <w:tabs>
          <w:tab w:val="num" w:pos="2880"/>
        </w:tabs>
        <w:ind w:left="2880" w:hanging="360"/>
      </w:pPr>
      <w:rPr>
        <w:rFonts w:ascii="Verdana" w:hAnsi="Verdana" w:hint="default"/>
      </w:rPr>
    </w:lvl>
    <w:lvl w:ilvl="4" w:tplc="9948095E" w:tentative="1">
      <w:start w:val="1"/>
      <w:numFmt w:val="bullet"/>
      <w:lvlText w:val="●"/>
      <w:lvlJc w:val="left"/>
      <w:pPr>
        <w:tabs>
          <w:tab w:val="num" w:pos="3600"/>
        </w:tabs>
        <w:ind w:left="3600" w:hanging="360"/>
      </w:pPr>
      <w:rPr>
        <w:rFonts w:ascii="Verdana" w:hAnsi="Verdana" w:hint="default"/>
      </w:rPr>
    </w:lvl>
    <w:lvl w:ilvl="5" w:tplc="9F82CE70" w:tentative="1">
      <w:start w:val="1"/>
      <w:numFmt w:val="bullet"/>
      <w:lvlText w:val="●"/>
      <w:lvlJc w:val="left"/>
      <w:pPr>
        <w:tabs>
          <w:tab w:val="num" w:pos="4320"/>
        </w:tabs>
        <w:ind w:left="4320" w:hanging="360"/>
      </w:pPr>
      <w:rPr>
        <w:rFonts w:ascii="Verdana" w:hAnsi="Verdana" w:hint="default"/>
      </w:rPr>
    </w:lvl>
    <w:lvl w:ilvl="6" w:tplc="3FC027DC" w:tentative="1">
      <w:start w:val="1"/>
      <w:numFmt w:val="bullet"/>
      <w:lvlText w:val="●"/>
      <w:lvlJc w:val="left"/>
      <w:pPr>
        <w:tabs>
          <w:tab w:val="num" w:pos="5040"/>
        </w:tabs>
        <w:ind w:left="5040" w:hanging="360"/>
      </w:pPr>
      <w:rPr>
        <w:rFonts w:ascii="Verdana" w:hAnsi="Verdana" w:hint="default"/>
      </w:rPr>
    </w:lvl>
    <w:lvl w:ilvl="7" w:tplc="9BA8F078" w:tentative="1">
      <w:start w:val="1"/>
      <w:numFmt w:val="bullet"/>
      <w:lvlText w:val="●"/>
      <w:lvlJc w:val="left"/>
      <w:pPr>
        <w:tabs>
          <w:tab w:val="num" w:pos="5760"/>
        </w:tabs>
        <w:ind w:left="5760" w:hanging="360"/>
      </w:pPr>
      <w:rPr>
        <w:rFonts w:ascii="Verdana" w:hAnsi="Verdana" w:hint="default"/>
      </w:rPr>
    </w:lvl>
    <w:lvl w:ilvl="8" w:tplc="D0A854F2"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8A4015D"/>
    <w:multiLevelType w:val="hybridMultilevel"/>
    <w:tmpl w:val="0464E886"/>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num w:numId="1">
    <w:abstractNumId w:val="4"/>
  </w:num>
  <w:num w:numId="2">
    <w:abstractNumId w:val="12"/>
  </w:num>
  <w:num w:numId="3">
    <w:abstractNumId w:val="13"/>
  </w:num>
  <w:num w:numId="4">
    <w:abstractNumId w:val="6"/>
  </w:num>
  <w:num w:numId="5">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6">
    <w:abstractNumId w:val="7"/>
  </w:num>
  <w:num w:numId="7">
    <w:abstractNumId w:val="5"/>
  </w:num>
  <w:num w:numId="8">
    <w:abstractNumId w:val="11"/>
  </w:num>
  <w:num w:numId="9">
    <w:abstractNumId w:val="14"/>
  </w:num>
  <w:num w:numId="10">
    <w:abstractNumId w:val="15"/>
  </w:num>
  <w:num w:numId="11">
    <w:abstractNumId w:val="3"/>
  </w:num>
  <w:num w:numId="12">
    <w:abstractNumId w:val="10"/>
  </w:num>
  <w:num w:numId="1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4">
    <w:abstractNumId w:val="16"/>
  </w:num>
  <w:num w:numId="15">
    <w:abstractNumId w:val="8"/>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16"/>
    <w:rsid w:val="0000046B"/>
    <w:rsid w:val="00000694"/>
    <w:rsid w:val="00001956"/>
    <w:rsid w:val="00002D20"/>
    <w:rsid w:val="00002DBF"/>
    <w:rsid w:val="00003480"/>
    <w:rsid w:val="00005305"/>
    <w:rsid w:val="0000623D"/>
    <w:rsid w:val="000064DA"/>
    <w:rsid w:val="00006D5B"/>
    <w:rsid w:val="000074AA"/>
    <w:rsid w:val="00011404"/>
    <w:rsid w:val="00012975"/>
    <w:rsid w:val="00013AAF"/>
    <w:rsid w:val="00014CAA"/>
    <w:rsid w:val="00014DBD"/>
    <w:rsid w:val="00015A92"/>
    <w:rsid w:val="000205E7"/>
    <w:rsid w:val="00020C00"/>
    <w:rsid w:val="0002201F"/>
    <w:rsid w:val="00022050"/>
    <w:rsid w:val="000222B0"/>
    <w:rsid w:val="00025B69"/>
    <w:rsid w:val="000271A2"/>
    <w:rsid w:val="00030F02"/>
    <w:rsid w:val="00033595"/>
    <w:rsid w:val="00033857"/>
    <w:rsid w:val="00033AC0"/>
    <w:rsid w:val="00033BB9"/>
    <w:rsid w:val="00034787"/>
    <w:rsid w:val="00034B8F"/>
    <w:rsid w:val="00034F65"/>
    <w:rsid w:val="000350BF"/>
    <w:rsid w:val="00037382"/>
    <w:rsid w:val="00040BE6"/>
    <w:rsid w:val="00041330"/>
    <w:rsid w:val="0004273A"/>
    <w:rsid w:val="00042BA0"/>
    <w:rsid w:val="00042D92"/>
    <w:rsid w:val="000430B1"/>
    <w:rsid w:val="0004322E"/>
    <w:rsid w:val="000449EB"/>
    <w:rsid w:val="0004523C"/>
    <w:rsid w:val="00045932"/>
    <w:rsid w:val="000462B6"/>
    <w:rsid w:val="000467AA"/>
    <w:rsid w:val="00046C5B"/>
    <w:rsid w:val="00046ED5"/>
    <w:rsid w:val="0005061D"/>
    <w:rsid w:val="00051665"/>
    <w:rsid w:val="00055502"/>
    <w:rsid w:val="000561B1"/>
    <w:rsid w:val="0005766A"/>
    <w:rsid w:val="00057765"/>
    <w:rsid w:val="00057B4D"/>
    <w:rsid w:val="00060B62"/>
    <w:rsid w:val="00061012"/>
    <w:rsid w:val="000632AE"/>
    <w:rsid w:val="00064D21"/>
    <w:rsid w:val="00064D9F"/>
    <w:rsid w:val="00064F51"/>
    <w:rsid w:val="0006601D"/>
    <w:rsid w:val="00066D4B"/>
    <w:rsid w:val="00066DF5"/>
    <w:rsid w:val="000702E0"/>
    <w:rsid w:val="00070AA2"/>
    <w:rsid w:val="00070B17"/>
    <w:rsid w:val="0007149A"/>
    <w:rsid w:val="00071B8D"/>
    <w:rsid w:val="00072E89"/>
    <w:rsid w:val="0007319E"/>
    <w:rsid w:val="000745E4"/>
    <w:rsid w:val="00077FDB"/>
    <w:rsid w:val="0008020E"/>
    <w:rsid w:val="00081726"/>
    <w:rsid w:val="00082819"/>
    <w:rsid w:val="00083093"/>
    <w:rsid w:val="000838C8"/>
    <w:rsid w:val="00083AE1"/>
    <w:rsid w:val="00084691"/>
    <w:rsid w:val="000849F3"/>
    <w:rsid w:val="000868B3"/>
    <w:rsid w:val="00086E54"/>
    <w:rsid w:val="0009094A"/>
    <w:rsid w:val="00091ED8"/>
    <w:rsid w:val="00094765"/>
    <w:rsid w:val="00095507"/>
    <w:rsid w:val="0009562C"/>
    <w:rsid w:val="00095EEF"/>
    <w:rsid w:val="000A0434"/>
    <w:rsid w:val="000A2683"/>
    <w:rsid w:val="000A2901"/>
    <w:rsid w:val="000A318E"/>
    <w:rsid w:val="000A3CB3"/>
    <w:rsid w:val="000A4CA3"/>
    <w:rsid w:val="000A57F2"/>
    <w:rsid w:val="000A59F0"/>
    <w:rsid w:val="000A5C62"/>
    <w:rsid w:val="000A6213"/>
    <w:rsid w:val="000A648D"/>
    <w:rsid w:val="000A742C"/>
    <w:rsid w:val="000B092A"/>
    <w:rsid w:val="000B2338"/>
    <w:rsid w:val="000B2C1C"/>
    <w:rsid w:val="000B35D1"/>
    <w:rsid w:val="000B5453"/>
    <w:rsid w:val="000B5A01"/>
    <w:rsid w:val="000B6633"/>
    <w:rsid w:val="000B6959"/>
    <w:rsid w:val="000B735F"/>
    <w:rsid w:val="000C2A4E"/>
    <w:rsid w:val="000C2FDD"/>
    <w:rsid w:val="000C419F"/>
    <w:rsid w:val="000C6E29"/>
    <w:rsid w:val="000D0CF5"/>
    <w:rsid w:val="000D11FB"/>
    <w:rsid w:val="000D1E2E"/>
    <w:rsid w:val="000D2150"/>
    <w:rsid w:val="000D455B"/>
    <w:rsid w:val="000D730E"/>
    <w:rsid w:val="000D7A56"/>
    <w:rsid w:val="000D7C78"/>
    <w:rsid w:val="000E0A06"/>
    <w:rsid w:val="000E11B4"/>
    <w:rsid w:val="000E1483"/>
    <w:rsid w:val="000E232D"/>
    <w:rsid w:val="000E2DD0"/>
    <w:rsid w:val="000E38B8"/>
    <w:rsid w:val="000E435A"/>
    <w:rsid w:val="000E5FE6"/>
    <w:rsid w:val="000E648A"/>
    <w:rsid w:val="000E65C4"/>
    <w:rsid w:val="000E7496"/>
    <w:rsid w:val="000F000C"/>
    <w:rsid w:val="000F00D2"/>
    <w:rsid w:val="000F0D13"/>
    <w:rsid w:val="000F2161"/>
    <w:rsid w:val="000F2BE0"/>
    <w:rsid w:val="000F2F98"/>
    <w:rsid w:val="000F40A4"/>
    <w:rsid w:val="000F627C"/>
    <w:rsid w:val="000F7EAC"/>
    <w:rsid w:val="00100FF8"/>
    <w:rsid w:val="00101B19"/>
    <w:rsid w:val="00102FAB"/>
    <w:rsid w:val="001035F0"/>
    <w:rsid w:val="00104289"/>
    <w:rsid w:val="00106B9E"/>
    <w:rsid w:val="00106FE5"/>
    <w:rsid w:val="001071E9"/>
    <w:rsid w:val="001072E6"/>
    <w:rsid w:val="001078B6"/>
    <w:rsid w:val="001116D5"/>
    <w:rsid w:val="001120F2"/>
    <w:rsid w:val="001129FE"/>
    <w:rsid w:val="00112B60"/>
    <w:rsid w:val="0011375B"/>
    <w:rsid w:val="00113E7A"/>
    <w:rsid w:val="00114511"/>
    <w:rsid w:val="001172E6"/>
    <w:rsid w:val="00117ADF"/>
    <w:rsid w:val="00121FB5"/>
    <w:rsid w:val="001229B2"/>
    <w:rsid w:val="00123A6D"/>
    <w:rsid w:val="001248FB"/>
    <w:rsid w:val="00125653"/>
    <w:rsid w:val="00126535"/>
    <w:rsid w:val="001269FB"/>
    <w:rsid w:val="001270BE"/>
    <w:rsid w:val="001274B7"/>
    <w:rsid w:val="00127610"/>
    <w:rsid w:val="0013093B"/>
    <w:rsid w:val="00132384"/>
    <w:rsid w:val="00132A4B"/>
    <w:rsid w:val="00134D9F"/>
    <w:rsid w:val="00135E90"/>
    <w:rsid w:val="0013685C"/>
    <w:rsid w:val="00140793"/>
    <w:rsid w:val="0014129F"/>
    <w:rsid w:val="00141912"/>
    <w:rsid w:val="00142C94"/>
    <w:rsid w:val="00142E0A"/>
    <w:rsid w:val="00142F2D"/>
    <w:rsid w:val="001440A3"/>
    <w:rsid w:val="00144B02"/>
    <w:rsid w:val="001459CD"/>
    <w:rsid w:val="00145E26"/>
    <w:rsid w:val="0014619D"/>
    <w:rsid w:val="00147A9C"/>
    <w:rsid w:val="00150172"/>
    <w:rsid w:val="00151B78"/>
    <w:rsid w:val="00154A8A"/>
    <w:rsid w:val="00156B2F"/>
    <w:rsid w:val="00160CB4"/>
    <w:rsid w:val="00161ACE"/>
    <w:rsid w:val="001623B6"/>
    <w:rsid w:val="001647B5"/>
    <w:rsid w:val="00165430"/>
    <w:rsid w:val="001667B0"/>
    <w:rsid w:val="00167076"/>
    <w:rsid w:val="001672B0"/>
    <w:rsid w:val="00167C20"/>
    <w:rsid w:val="0017044C"/>
    <w:rsid w:val="0017066E"/>
    <w:rsid w:val="001707D3"/>
    <w:rsid w:val="00172280"/>
    <w:rsid w:val="00172463"/>
    <w:rsid w:val="0017298A"/>
    <w:rsid w:val="00174A16"/>
    <w:rsid w:val="00180CBB"/>
    <w:rsid w:val="00181329"/>
    <w:rsid w:val="001821CA"/>
    <w:rsid w:val="00182605"/>
    <w:rsid w:val="00183183"/>
    <w:rsid w:val="00184332"/>
    <w:rsid w:val="00185FBE"/>
    <w:rsid w:val="0018683D"/>
    <w:rsid w:val="00187493"/>
    <w:rsid w:val="00190051"/>
    <w:rsid w:val="001913D9"/>
    <w:rsid w:val="00192A7D"/>
    <w:rsid w:val="001954B2"/>
    <w:rsid w:val="00195590"/>
    <w:rsid w:val="00196969"/>
    <w:rsid w:val="00196D2F"/>
    <w:rsid w:val="001A16D3"/>
    <w:rsid w:val="001A19DF"/>
    <w:rsid w:val="001A2C03"/>
    <w:rsid w:val="001A3B12"/>
    <w:rsid w:val="001A414E"/>
    <w:rsid w:val="001A45C3"/>
    <w:rsid w:val="001A59D8"/>
    <w:rsid w:val="001A7093"/>
    <w:rsid w:val="001B1365"/>
    <w:rsid w:val="001B13FA"/>
    <w:rsid w:val="001B210A"/>
    <w:rsid w:val="001B236E"/>
    <w:rsid w:val="001B5E14"/>
    <w:rsid w:val="001B745B"/>
    <w:rsid w:val="001B7BAA"/>
    <w:rsid w:val="001C13C6"/>
    <w:rsid w:val="001C643F"/>
    <w:rsid w:val="001C6732"/>
    <w:rsid w:val="001C6D24"/>
    <w:rsid w:val="001C76A7"/>
    <w:rsid w:val="001C77F6"/>
    <w:rsid w:val="001D0499"/>
    <w:rsid w:val="001D2E36"/>
    <w:rsid w:val="001D3113"/>
    <w:rsid w:val="001D31B4"/>
    <w:rsid w:val="001D31E3"/>
    <w:rsid w:val="001D48C4"/>
    <w:rsid w:val="001D4BDE"/>
    <w:rsid w:val="001D706A"/>
    <w:rsid w:val="001E043B"/>
    <w:rsid w:val="001E0759"/>
    <w:rsid w:val="001E273F"/>
    <w:rsid w:val="001E3D5E"/>
    <w:rsid w:val="001E4394"/>
    <w:rsid w:val="001E5FCF"/>
    <w:rsid w:val="001E6B9C"/>
    <w:rsid w:val="001E7117"/>
    <w:rsid w:val="001E7E87"/>
    <w:rsid w:val="001F01C8"/>
    <w:rsid w:val="001F12C7"/>
    <w:rsid w:val="001F1FE4"/>
    <w:rsid w:val="001F275E"/>
    <w:rsid w:val="001F3017"/>
    <w:rsid w:val="001F393E"/>
    <w:rsid w:val="001F3B80"/>
    <w:rsid w:val="001F3C16"/>
    <w:rsid w:val="001F3CA7"/>
    <w:rsid w:val="001F3CC2"/>
    <w:rsid w:val="001F5A07"/>
    <w:rsid w:val="001F5D08"/>
    <w:rsid w:val="001F71D1"/>
    <w:rsid w:val="00202305"/>
    <w:rsid w:val="00202830"/>
    <w:rsid w:val="00203C46"/>
    <w:rsid w:val="002048F1"/>
    <w:rsid w:val="00204B34"/>
    <w:rsid w:val="0020638F"/>
    <w:rsid w:val="002063D1"/>
    <w:rsid w:val="00210898"/>
    <w:rsid w:val="00210929"/>
    <w:rsid w:val="00211259"/>
    <w:rsid w:val="002119D8"/>
    <w:rsid w:val="00211FA5"/>
    <w:rsid w:val="00213DA6"/>
    <w:rsid w:val="00214053"/>
    <w:rsid w:val="00214917"/>
    <w:rsid w:val="0021504E"/>
    <w:rsid w:val="00215097"/>
    <w:rsid w:val="002158E0"/>
    <w:rsid w:val="0021697D"/>
    <w:rsid w:val="00216E8D"/>
    <w:rsid w:val="00217CA4"/>
    <w:rsid w:val="00221F2B"/>
    <w:rsid w:val="0022229D"/>
    <w:rsid w:val="00223388"/>
    <w:rsid w:val="00225A32"/>
    <w:rsid w:val="00226429"/>
    <w:rsid w:val="00232AE9"/>
    <w:rsid w:val="002330F3"/>
    <w:rsid w:val="00233C15"/>
    <w:rsid w:val="002353DD"/>
    <w:rsid w:val="00235ADD"/>
    <w:rsid w:val="00237436"/>
    <w:rsid w:val="0024068E"/>
    <w:rsid w:val="00241CD6"/>
    <w:rsid w:val="00241D5A"/>
    <w:rsid w:val="0024247C"/>
    <w:rsid w:val="002439A0"/>
    <w:rsid w:val="002439ED"/>
    <w:rsid w:val="00244408"/>
    <w:rsid w:val="00244420"/>
    <w:rsid w:val="00245F0A"/>
    <w:rsid w:val="0024611A"/>
    <w:rsid w:val="00246677"/>
    <w:rsid w:val="0024780C"/>
    <w:rsid w:val="0025001B"/>
    <w:rsid w:val="00250435"/>
    <w:rsid w:val="00250561"/>
    <w:rsid w:val="00251BE5"/>
    <w:rsid w:val="002577CB"/>
    <w:rsid w:val="00260477"/>
    <w:rsid w:val="002606FC"/>
    <w:rsid w:val="00260BFE"/>
    <w:rsid w:val="00261494"/>
    <w:rsid w:val="0026377A"/>
    <w:rsid w:val="00264A23"/>
    <w:rsid w:val="00265896"/>
    <w:rsid w:val="002660E7"/>
    <w:rsid w:val="00266113"/>
    <w:rsid w:val="00270191"/>
    <w:rsid w:val="00271159"/>
    <w:rsid w:val="002716DA"/>
    <w:rsid w:val="00273764"/>
    <w:rsid w:val="00273E1D"/>
    <w:rsid w:val="00274D15"/>
    <w:rsid w:val="0027620F"/>
    <w:rsid w:val="00276C6D"/>
    <w:rsid w:val="00277554"/>
    <w:rsid w:val="0028132E"/>
    <w:rsid w:val="00283114"/>
    <w:rsid w:val="0028553F"/>
    <w:rsid w:val="00286625"/>
    <w:rsid w:val="002871A3"/>
    <w:rsid w:val="00287416"/>
    <w:rsid w:val="00287727"/>
    <w:rsid w:val="002879FF"/>
    <w:rsid w:val="0029070A"/>
    <w:rsid w:val="00292135"/>
    <w:rsid w:val="00292C7F"/>
    <w:rsid w:val="00293E20"/>
    <w:rsid w:val="00295250"/>
    <w:rsid w:val="00295934"/>
    <w:rsid w:val="00295F2D"/>
    <w:rsid w:val="002963E8"/>
    <w:rsid w:val="0029683E"/>
    <w:rsid w:val="00296EF8"/>
    <w:rsid w:val="002971B1"/>
    <w:rsid w:val="00297338"/>
    <w:rsid w:val="002A0015"/>
    <w:rsid w:val="002A1807"/>
    <w:rsid w:val="002A24B6"/>
    <w:rsid w:val="002A306B"/>
    <w:rsid w:val="002A343D"/>
    <w:rsid w:val="002A39E0"/>
    <w:rsid w:val="002A48AC"/>
    <w:rsid w:val="002A4ECD"/>
    <w:rsid w:val="002A5489"/>
    <w:rsid w:val="002A5DC2"/>
    <w:rsid w:val="002A6A3D"/>
    <w:rsid w:val="002A6EF0"/>
    <w:rsid w:val="002B0D51"/>
    <w:rsid w:val="002B14BD"/>
    <w:rsid w:val="002B4FB8"/>
    <w:rsid w:val="002B5DD2"/>
    <w:rsid w:val="002B6364"/>
    <w:rsid w:val="002B7C5B"/>
    <w:rsid w:val="002C0814"/>
    <w:rsid w:val="002C26F9"/>
    <w:rsid w:val="002C2D26"/>
    <w:rsid w:val="002C436A"/>
    <w:rsid w:val="002C495C"/>
    <w:rsid w:val="002C648D"/>
    <w:rsid w:val="002C6E8F"/>
    <w:rsid w:val="002C7477"/>
    <w:rsid w:val="002C78B0"/>
    <w:rsid w:val="002D038D"/>
    <w:rsid w:val="002D1318"/>
    <w:rsid w:val="002D1669"/>
    <w:rsid w:val="002D3AAA"/>
    <w:rsid w:val="002E0B15"/>
    <w:rsid w:val="002E0E08"/>
    <w:rsid w:val="002E1DE8"/>
    <w:rsid w:val="002E2844"/>
    <w:rsid w:val="002E3BA9"/>
    <w:rsid w:val="002E444D"/>
    <w:rsid w:val="002E4D36"/>
    <w:rsid w:val="002E5A47"/>
    <w:rsid w:val="002E65EC"/>
    <w:rsid w:val="002E794E"/>
    <w:rsid w:val="002E7F42"/>
    <w:rsid w:val="002E7F96"/>
    <w:rsid w:val="002F094D"/>
    <w:rsid w:val="002F16FD"/>
    <w:rsid w:val="002F1EBF"/>
    <w:rsid w:val="002F2381"/>
    <w:rsid w:val="002F2F6B"/>
    <w:rsid w:val="002F341E"/>
    <w:rsid w:val="002F4B8C"/>
    <w:rsid w:val="002F569E"/>
    <w:rsid w:val="002F56AF"/>
    <w:rsid w:val="002F70AA"/>
    <w:rsid w:val="00300BBC"/>
    <w:rsid w:val="003035E5"/>
    <w:rsid w:val="00303FED"/>
    <w:rsid w:val="003047E0"/>
    <w:rsid w:val="0030508B"/>
    <w:rsid w:val="00307379"/>
    <w:rsid w:val="0031396F"/>
    <w:rsid w:val="00315A9B"/>
    <w:rsid w:val="00315B3E"/>
    <w:rsid w:val="0031603E"/>
    <w:rsid w:val="00316297"/>
    <w:rsid w:val="00316368"/>
    <w:rsid w:val="00316A9D"/>
    <w:rsid w:val="003177C8"/>
    <w:rsid w:val="00317F1E"/>
    <w:rsid w:val="00320393"/>
    <w:rsid w:val="003211E3"/>
    <w:rsid w:val="00321B56"/>
    <w:rsid w:val="0032359F"/>
    <w:rsid w:val="00323909"/>
    <w:rsid w:val="003244C2"/>
    <w:rsid w:val="003247D1"/>
    <w:rsid w:val="00324C88"/>
    <w:rsid w:val="0032649A"/>
    <w:rsid w:val="00326E83"/>
    <w:rsid w:val="003277B5"/>
    <w:rsid w:val="0033068A"/>
    <w:rsid w:val="003330D0"/>
    <w:rsid w:val="00333E93"/>
    <w:rsid w:val="00335D5E"/>
    <w:rsid w:val="00336377"/>
    <w:rsid w:val="0033752A"/>
    <w:rsid w:val="00340886"/>
    <w:rsid w:val="00340A02"/>
    <w:rsid w:val="00341A44"/>
    <w:rsid w:val="00341DA9"/>
    <w:rsid w:val="00343104"/>
    <w:rsid w:val="00343700"/>
    <w:rsid w:val="00344A64"/>
    <w:rsid w:val="00345008"/>
    <w:rsid w:val="00345208"/>
    <w:rsid w:val="00346CF0"/>
    <w:rsid w:val="0035011B"/>
    <w:rsid w:val="00350A67"/>
    <w:rsid w:val="00351001"/>
    <w:rsid w:val="003512CD"/>
    <w:rsid w:val="00351989"/>
    <w:rsid w:val="0035250E"/>
    <w:rsid w:val="0035260D"/>
    <w:rsid w:val="00352E11"/>
    <w:rsid w:val="0035320C"/>
    <w:rsid w:val="00353752"/>
    <w:rsid w:val="0035656F"/>
    <w:rsid w:val="00357145"/>
    <w:rsid w:val="00360DEF"/>
    <w:rsid w:val="003610E9"/>
    <w:rsid w:val="00365C19"/>
    <w:rsid w:val="0036713B"/>
    <w:rsid w:val="00367AD9"/>
    <w:rsid w:val="0037076A"/>
    <w:rsid w:val="00370956"/>
    <w:rsid w:val="00371F6C"/>
    <w:rsid w:val="00371F6D"/>
    <w:rsid w:val="003723E0"/>
    <w:rsid w:val="00374DA2"/>
    <w:rsid w:val="00375874"/>
    <w:rsid w:val="00375FFE"/>
    <w:rsid w:val="003763E5"/>
    <w:rsid w:val="0037705A"/>
    <w:rsid w:val="003773EE"/>
    <w:rsid w:val="003803AA"/>
    <w:rsid w:val="003816E1"/>
    <w:rsid w:val="00381FF3"/>
    <w:rsid w:val="003845BC"/>
    <w:rsid w:val="003864BC"/>
    <w:rsid w:val="003900C7"/>
    <w:rsid w:val="0039220C"/>
    <w:rsid w:val="00392DA7"/>
    <w:rsid w:val="00394A1B"/>
    <w:rsid w:val="00396228"/>
    <w:rsid w:val="00397E99"/>
    <w:rsid w:val="003A3013"/>
    <w:rsid w:val="003A311C"/>
    <w:rsid w:val="003A3152"/>
    <w:rsid w:val="003A3626"/>
    <w:rsid w:val="003A4506"/>
    <w:rsid w:val="003A64AD"/>
    <w:rsid w:val="003A687D"/>
    <w:rsid w:val="003A7DAA"/>
    <w:rsid w:val="003B0228"/>
    <w:rsid w:val="003B0D99"/>
    <w:rsid w:val="003B1968"/>
    <w:rsid w:val="003B2E2E"/>
    <w:rsid w:val="003B42FB"/>
    <w:rsid w:val="003B7FA5"/>
    <w:rsid w:val="003C0F37"/>
    <w:rsid w:val="003C1188"/>
    <w:rsid w:val="003C17C8"/>
    <w:rsid w:val="003C191E"/>
    <w:rsid w:val="003C2FDA"/>
    <w:rsid w:val="003C3941"/>
    <w:rsid w:val="003C3EFE"/>
    <w:rsid w:val="003C472C"/>
    <w:rsid w:val="003C5599"/>
    <w:rsid w:val="003C59A7"/>
    <w:rsid w:val="003D3BDF"/>
    <w:rsid w:val="003D4769"/>
    <w:rsid w:val="003D5CC8"/>
    <w:rsid w:val="003D7D2F"/>
    <w:rsid w:val="003D7E84"/>
    <w:rsid w:val="003E027A"/>
    <w:rsid w:val="003E05E0"/>
    <w:rsid w:val="003E14FD"/>
    <w:rsid w:val="003E19A9"/>
    <w:rsid w:val="003E1A78"/>
    <w:rsid w:val="003E22CA"/>
    <w:rsid w:val="003E253B"/>
    <w:rsid w:val="003E3107"/>
    <w:rsid w:val="003E311A"/>
    <w:rsid w:val="003E3F83"/>
    <w:rsid w:val="003E4706"/>
    <w:rsid w:val="003E4A7D"/>
    <w:rsid w:val="003E4F83"/>
    <w:rsid w:val="003E780D"/>
    <w:rsid w:val="003F0348"/>
    <w:rsid w:val="003F03DE"/>
    <w:rsid w:val="003F0827"/>
    <w:rsid w:val="003F0E6C"/>
    <w:rsid w:val="003F1162"/>
    <w:rsid w:val="003F11BA"/>
    <w:rsid w:val="003F2F1E"/>
    <w:rsid w:val="003F343C"/>
    <w:rsid w:val="003F3A0C"/>
    <w:rsid w:val="003F43D0"/>
    <w:rsid w:val="003F6CEA"/>
    <w:rsid w:val="003F7924"/>
    <w:rsid w:val="00400230"/>
    <w:rsid w:val="00400385"/>
    <w:rsid w:val="00402076"/>
    <w:rsid w:val="004041A7"/>
    <w:rsid w:val="00404351"/>
    <w:rsid w:val="00405BF6"/>
    <w:rsid w:val="0040789D"/>
    <w:rsid w:val="004102A9"/>
    <w:rsid w:val="0041056E"/>
    <w:rsid w:val="004109D6"/>
    <w:rsid w:val="00411E01"/>
    <w:rsid w:val="004125D8"/>
    <w:rsid w:val="00413CB7"/>
    <w:rsid w:val="00415DD9"/>
    <w:rsid w:val="00416C38"/>
    <w:rsid w:val="00417C6F"/>
    <w:rsid w:val="00417FA3"/>
    <w:rsid w:val="00420832"/>
    <w:rsid w:val="00420BAB"/>
    <w:rsid w:val="00420C4E"/>
    <w:rsid w:val="0042168D"/>
    <w:rsid w:val="00421FC0"/>
    <w:rsid w:val="00423F0B"/>
    <w:rsid w:val="004253EA"/>
    <w:rsid w:val="00426F25"/>
    <w:rsid w:val="00430559"/>
    <w:rsid w:val="00430C5F"/>
    <w:rsid w:val="004310F0"/>
    <w:rsid w:val="00433EB6"/>
    <w:rsid w:val="004345EB"/>
    <w:rsid w:val="00437717"/>
    <w:rsid w:val="00440C17"/>
    <w:rsid w:val="00441708"/>
    <w:rsid w:val="00442860"/>
    <w:rsid w:val="0044355F"/>
    <w:rsid w:val="00443883"/>
    <w:rsid w:val="0044423D"/>
    <w:rsid w:val="0044564E"/>
    <w:rsid w:val="0044581F"/>
    <w:rsid w:val="004467E1"/>
    <w:rsid w:val="0045173B"/>
    <w:rsid w:val="00452288"/>
    <w:rsid w:val="0045271F"/>
    <w:rsid w:val="00453857"/>
    <w:rsid w:val="00453A63"/>
    <w:rsid w:val="00460D91"/>
    <w:rsid w:val="00462535"/>
    <w:rsid w:val="00463C3F"/>
    <w:rsid w:val="00464D38"/>
    <w:rsid w:val="00465B28"/>
    <w:rsid w:val="00465BFA"/>
    <w:rsid w:val="004664DE"/>
    <w:rsid w:val="00466C8C"/>
    <w:rsid w:val="004676F4"/>
    <w:rsid w:val="00467772"/>
    <w:rsid w:val="00467CC4"/>
    <w:rsid w:val="0047005C"/>
    <w:rsid w:val="0047206F"/>
    <w:rsid w:val="00473670"/>
    <w:rsid w:val="00473C95"/>
    <w:rsid w:val="00474375"/>
    <w:rsid w:val="00474951"/>
    <w:rsid w:val="00475121"/>
    <w:rsid w:val="00475C3F"/>
    <w:rsid w:val="00476208"/>
    <w:rsid w:val="0047669B"/>
    <w:rsid w:val="004768F4"/>
    <w:rsid w:val="00480215"/>
    <w:rsid w:val="00480848"/>
    <w:rsid w:val="00480DBB"/>
    <w:rsid w:val="00481404"/>
    <w:rsid w:val="00490B24"/>
    <w:rsid w:val="00492352"/>
    <w:rsid w:val="004924FF"/>
    <w:rsid w:val="00492900"/>
    <w:rsid w:val="004933FE"/>
    <w:rsid w:val="00493CC9"/>
    <w:rsid w:val="0049454C"/>
    <w:rsid w:val="0049514F"/>
    <w:rsid w:val="00495E03"/>
    <w:rsid w:val="00497184"/>
    <w:rsid w:val="00497D29"/>
    <w:rsid w:val="004A23D1"/>
    <w:rsid w:val="004A27B2"/>
    <w:rsid w:val="004A2C33"/>
    <w:rsid w:val="004A39BD"/>
    <w:rsid w:val="004A4C12"/>
    <w:rsid w:val="004A5D2C"/>
    <w:rsid w:val="004A6216"/>
    <w:rsid w:val="004A7C93"/>
    <w:rsid w:val="004B1549"/>
    <w:rsid w:val="004B25D4"/>
    <w:rsid w:val="004B2D6B"/>
    <w:rsid w:val="004B4A9A"/>
    <w:rsid w:val="004B4D2C"/>
    <w:rsid w:val="004B5C43"/>
    <w:rsid w:val="004B65F4"/>
    <w:rsid w:val="004B7394"/>
    <w:rsid w:val="004B792D"/>
    <w:rsid w:val="004B7B52"/>
    <w:rsid w:val="004C244F"/>
    <w:rsid w:val="004C2EC9"/>
    <w:rsid w:val="004C4E71"/>
    <w:rsid w:val="004C5EB5"/>
    <w:rsid w:val="004C6BB1"/>
    <w:rsid w:val="004C727B"/>
    <w:rsid w:val="004D0DE5"/>
    <w:rsid w:val="004D1793"/>
    <w:rsid w:val="004D25BC"/>
    <w:rsid w:val="004D2AD5"/>
    <w:rsid w:val="004D3FE2"/>
    <w:rsid w:val="004D452A"/>
    <w:rsid w:val="004D474E"/>
    <w:rsid w:val="004D6924"/>
    <w:rsid w:val="004D79CF"/>
    <w:rsid w:val="004E026D"/>
    <w:rsid w:val="004E0D58"/>
    <w:rsid w:val="004E1A47"/>
    <w:rsid w:val="004E1B99"/>
    <w:rsid w:val="004E1C82"/>
    <w:rsid w:val="004E1E30"/>
    <w:rsid w:val="004E39E4"/>
    <w:rsid w:val="004E4958"/>
    <w:rsid w:val="004E4B6A"/>
    <w:rsid w:val="004E6DA7"/>
    <w:rsid w:val="004F1A88"/>
    <w:rsid w:val="004F2EC9"/>
    <w:rsid w:val="004F3855"/>
    <w:rsid w:val="004F5FD7"/>
    <w:rsid w:val="004F69FB"/>
    <w:rsid w:val="0050357F"/>
    <w:rsid w:val="00503F29"/>
    <w:rsid w:val="00503FC8"/>
    <w:rsid w:val="005065B7"/>
    <w:rsid w:val="005068BE"/>
    <w:rsid w:val="00510084"/>
    <w:rsid w:val="00512A9C"/>
    <w:rsid w:val="00512C93"/>
    <w:rsid w:val="00513251"/>
    <w:rsid w:val="00514F39"/>
    <w:rsid w:val="00516900"/>
    <w:rsid w:val="0052097D"/>
    <w:rsid w:val="00524059"/>
    <w:rsid w:val="0052448A"/>
    <w:rsid w:val="00527EE4"/>
    <w:rsid w:val="005306EA"/>
    <w:rsid w:val="00531850"/>
    <w:rsid w:val="00531976"/>
    <w:rsid w:val="00531EAD"/>
    <w:rsid w:val="005325A1"/>
    <w:rsid w:val="00532744"/>
    <w:rsid w:val="005344B7"/>
    <w:rsid w:val="005355EA"/>
    <w:rsid w:val="00536977"/>
    <w:rsid w:val="005370F3"/>
    <w:rsid w:val="005375E0"/>
    <w:rsid w:val="00540264"/>
    <w:rsid w:val="0054461B"/>
    <w:rsid w:val="0054507B"/>
    <w:rsid w:val="00545420"/>
    <w:rsid w:val="0054618A"/>
    <w:rsid w:val="00546BE9"/>
    <w:rsid w:val="00550297"/>
    <w:rsid w:val="00550849"/>
    <w:rsid w:val="00552C81"/>
    <w:rsid w:val="005533D1"/>
    <w:rsid w:val="00557B43"/>
    <w:rsid w:val="0056125D"/>
    <w:rsid w:val="00561297"/>
    <w:rsid w:val="0056367E"/>
    <w:rsid w:val="005637D7"/>
    <w:rsid w:val="005645A6"/>
    <w:rsid w:val="005655E2"/>
    <w:rsid w:val="0056594F"/>
    <w:rsid w:val="00565CA8"/>
    <w:rsid w:val="00566C73"/>
    <w:rsid w:val="00571198"/>
    <w:rsid w:val="00571369"/>
    <w:rsid w:val="005717CB"/>
    <w:rsid w:val="00572905"/>
    <w:rsid w:val="00573EFF"/>
    <w:rsid w:val="005753D6"/>
    <w:rsid w:val="00575800"/>
    <w:rsid w:val="00575B80"/>
    <w:rsid w:val="00575E90"/>
    <w:rsid w:val="00583FB0"/>
    <w:rsid w:val="00584B95"/>
    <w:rsid w:val="00585E99"/>
    <w:rsid w:val="005861EF"/>
    <w:rsid w:val="00586257"/>
    <w:rsid w:val="00590FFE"/>
    <w:rsid w:val="0059187C"/>
    <w:rsid w:val="005956F9"/>
    <w:rsid w:val="0059782B"/>
    <w:rsid w:val="005A0457"/>
    <w:rsid w:val="005A0568"/>
    <w:rsid w:val="005A1816"/>
    <w:rsid w:val="005A1A20"/>
    <w:rsid w:val="005A1F19"/>
    <w:rsid w:val="005A2EA9"/>
    <w:rsid w:val="005A324C"/>
    <w:rsid w:val="005A328A"/>
    <w:rsid w:val="005A4A59"/>
    <w:rsid w:val="005A5541"/>
    <w:rsid w:val="005A6E1D"/>
    <w:rsid w:val="005B1C12"/>
    <w:rsid w:val="005B3A72"/>
    <w:rsid w:val="005B49E7"/>
    <w:rsid w:val="005B4CD5"/>
    <w:rsid w:val="005B53C9"/>
    <w:rsid w:val="005B6040"/>
    <w:rsid w:val="005B6332"/>
    <w:rsid w:val="005B68CC"/>
    <w:rsid w:val="005B68FB"/>
    <w:rsid w:val="005B7D79"/>
    <w:rsid w:val="005C0B84"/>
    <w:rsid w:val="005C359B"/>
    <w:rsid w:val="005C3608"/>
    <w:rsid w:val="005C429D"/>
    <w:rsid w:val="005C4AD0"/>
    <w:rsid w:val="005C5138"/>
    <w:rsid w:val="005C58FD"/>
    <w:rsid w:val="005C744D"/>
    <w:rsid w:val="005C7C84"/>
    <w:rsid w:val="005D05C8"/>
    <w:rsid w:val="005D10E0"/>
    <w:rsid w:val="005D11D4"/>
    <w:rsid w:val="005D3F99"/>
    <w:rsid w:val="005D47BA"/>
    <w:rsid w:val="005D551E"/>
    <w:rsid w:val="005D5E0A"/>
    <w:rsid w:val="005D64CF"/>
    <w:rsid w:val="005D6957"/>
    <w:rsid w:val="005D7641"/>
    <w:rsid w:val="005E0212"/>
    <w:rsid w:val="005E0382"/>
    <w:rsid w:val="005E608B"/>
    <w:rsid w:val="005E737A"/>
    <w:rsid w:val="005F0536"/>
    <w:rsid w:val="005F1539"/>
    <w:rsid w:val="005F350D"/>
    <w:rsid w:val="005F43EC"/>
    <w:rsid w:val="005F49EB"/>
    <w:rsid w:val="005F5988"/>
    <w:rsid w:val="005F5D7E"/>
    <w:rsid w:val="005F7673"/>
    <w:rsid w:val="005F7838"/>
    <w:rsid w:val="005F78C1"/>
    <w:rsid w:val="00600D5A"/>
    <w:rsid w:val="00603445"/>
    <w:rsid w:val="00603F6F"/>
    <w:rsid w:val="00604998"/>
    <w:rsid w:val="00605EDB"/>
    <w:rsid w:val="00606FAB"/>
    <w:rsid w:val="00610A57"/>
    <w:rsid w:val="00610F85"/>
    <w:rsid w:val="00611022"/>
    <w:rsid w:val="00612568"/>
    <w:rsid w:val="00613CE9"/>
    <w:rsid w:val="00614C5C"/>
    <w:rsid w:val="00615752"/>
    <w:rsid w:val="00617A07"/>
    <w:rsid w:val="00620102"/>
    <w:rsid w:val="00620D9B"/>
    <w:rsid w:val="00622A3A"/>
    <w:rsid w:val="00623B90"/>
    <w:rsid w:val="00625CA1"/>
    <w:rsid w:val="00625ECD"/>
    <w:rsid w:val="00626278"/>
    <w:rsid w:val="00626DC7"/>
    <w:rsid w:val="00626DD8"/>
    <w:rsid w:val="00632D5B"/>
    <w:rsid w:val="00632E79"/>
    <w:rsid w:val="00632F32"/>
    <w:rsid w:val="0063422C"/>
    <w:rsid w:val="0063445F"/>
    <w:rsid w:val="00634AD2"/>
    <w:rsid w:val="00635613"/>
    <w:rsid w:val="00635D48"/>
    <w:rsid w:val="00635E89"/>
    <w:rsid w:val="0063681F"/>
    <w:rsid w:val="006369DA"/>
    <w:rsid w:val="0063761D"/>
    <w:rsid w:val="00640AFA"/>
    <w:rsid w:val="006413E5"/>
    <w:rsid w:val="006428AD"/>
    <w:rsid w:val="006453A7"/>
    <w:rsid w:val="0064700C"/>
    <w:rsid w:val="00651620"/>
    <w:rsid w:val="00652EDF"/>
    <w:rsid w:val="00654C4B"/>
    <w:rsid w:val="00654F3D"/>
    <w:rsid w:val="00655A40"/>
    <w:rsid w:val="00655E05"/>
    <w:rsid w:val="00655FB3"/>
    <w:rsid w:val="00656912"/>
    <w:rsid w:val="00656B51"/>
    <w:rsid w:val="00657825"/>
    <w:rsid w:val="006601B4"/>
    <w:rsid w:val="0066295A"/>
    <w:rsid w:val="006637BE"/>
    <w:rsid w:val="0066392E"/>
    <w:rsid w:val="0066403B"/>
    <w:rsid w:val="006661F3"/>
    <w:rsid w:val="00666A5E"/>
    <w:rsid w:val="00666EE0"/>
    <w:rsid w:val="00667792"/>
    <w:rsid w:val="00670A87"/>
    <w:rsid w:val="0067103E"/>
    <w:rsid w:val="00672F8D"/>
    <w:rsid w:val="00673D2C"/>
    <w:rsid w:val="00674BE0"/>
    <w:rsid w:val="006752F9"/>
    <w:rsid w:val="00676704"/>
    <w:rsid w:val="00677F10"/>
    <w:rsid w:val="00681962"/>
    <w:rsid w:val="0068243D"/>
    <w:rsid w:val="00683B6A"/>
    <w:rsid w:val="00683E31"/>
    <w:rsid w:val="006853ED"/>
    <w:rsid w:val="0068631C"/>
    <w:rsid w:val="00686BE1"/>
    <w:rsid w:val="00686C01"/>
    <w:rsid w:val="00687F06"/>
    <w:rsid w:val="00691844"/>
    <w:rsid w:val="00693EA9"/>
    <w:rsid w:val="0069414E"/>
    <w:rsid w:val="00696297"/>
    <w:rsid w:val="00696E0D"/>
    <w:rsid w:val="006970FE"/>
    <w:rsid w:val="006A0390"/>
    <w:rsid w:val="006A34BD"/>
    <w:rsid w:val="006A736F"/>
    <w:rsid w:val="006A79AB"/>
    <w:rsid w:val="006B0DFC"/>
    <w:rsid w:val="006B1745"/>
    <w:rsid w:val="006B3179"/>
    <w:rsid w:val="006B590D"/>
    <w:rsid w:val="006B7D31"/>
    <w:rsid w:val="006C05B1"/>
    <w:rsid w:val="006C0689"/>
    <w:rsid w:val="006C13C3"/>
    <w:rsid w:val="006C1A55"/>
    <w:rsid w:val="006C40CD"/>
    <w:rsid w:val="006C4A78"/>
    <w:rsid w:val="006C4BA6"/>
    <w:rsid w:val="006C4C96"/>
    <w:rsid w:val="006C54EE"/>
    <w:rsid w:val="006C5599"/>
    <w:rsid w:val="006C59B8"/>
    <w:rsid w:val="006C59F3"/>
    <w:rsid w:val="006C6CD2"/>
    <w:rsid w:val="006D01AD"/>
    <w:rsid w:val="006D072C"/>
    <w:rsid w:val="006D0A2B"/>
    <w:rsid w:val="006D0A6C"/>
    <w:rsid w:val="006D0F55"/>
    <w:rsid w:val="006D2199"/>
    <w:rsid w:val="006D3A59"/>
    <w:rsid w:val="006D3DAC"/>
    <w:rsid w:val="006D6654"/>
    <w:rsid w:val="006D691C"/>
    <w:rsid w:val="006E011C"/>
    <w:rsid w:val="006E0E6D"/>
    <w:rsid w:val="006E18F9"/>
    <w:rsid w:val="006E3A05"/>
    <w:rsid w:val="006E3D2B"/>
    <w:rsid w:val="006E45CB"/>
    <w:rsid w:val="006E476D"/>
    <w:rsid w:val="006E53FE"/>
    <w:rsid w:val="006E6926"/>
    <w:rsid w:val="006E6B79"/>
    <w:rsid w:val="006F051B"/>
    <w:rsid w:val="006F0C38"/>
    <w:rsid w:val="006F0EDC"/>
    <w:rsid w:val="006F16EB"/>
    <w:rsid w:val="006F2A88"/>
    <w:rsid w:val="006F4CB1"/>
    <w:rsid w:val="006F4DE5"/>
    <w:rsid w:val="006F68BD"/>
    <w:rsid w:val="0070068C"/>
    <w:rsid w:val="00700B80"/>
    <w:rsid w:val="00700E86"/>
    <w:rsid w:val="007015F6"/>
    <w:rsid w:val="007017DD"/>
    <w:rsid w:val="0070194D"/>
    <w:rsid w:val="007022C9"/>
    <w:rsid w:val="00702E2E"/>
    <w:rsid w:val="007032B9"/>
    <w:rsid w:val="00704C2F"/>
    <w:rsid w:val="00704DB5"/>
    <w:rsid w:val="00705237"/>
    <w:rsid w:val="00705524"/>
    <w:rsid w:val="00706581"/>
    <w:rsid w:val="0070716A"/>
    <w:rsid w:val="00710AA8"/>
    <w:rsid w:val="0071118B"/>
    <w:rsid w:val="00711EB0"/>
    <w:rsid w:val="00714492"/>
    <w:rsid w:val="00714BF1"/>
    <w:rsid w:val="00715276"/>
    <w:rsid w:val="00716442"/>
    <w:rsid w:val="007165D7"/>
    <w:rsid w:val="007179EA"/>
    <w:rsid w:val="00720257"/>
    <w:rsid w:val="00720303"/>
    <w:rsid w:val="00721107"/>
    <w:rsid w:val="00721F4C"/>
    <w:rsid w:val="00722F62"/>
    <w:rsid w:val="00723D0B"/>
    <w:rsid w:val="00725C2B"/>
    <w:rsid w:val="00725C6E"/>
    <w:rsid w:val="00726B8A"/>
    <w:rsid w:val="00727113"/>
    <w:rsid w:val="00727D64"/>
    <w:rsid w:val="00727EC8"/>
    <w:rsid w:val="00734448"/>
    <w:rsid w:val="00734FE9"/>
    <w:rsid w:val="0073578B"/>
    <w:rsid w:val="00737FD0"/>
    <w:rsid w:val="00741523"/>
    <w:rsid w:val="00741797"/>
    <w:rsid w:val="0074297F"/>
    <w:rsid w:val="00742B38"/>
    <w:rsid w:val="0074353B"/>
    <w:rsid w:val="0074571A"/>
    <w:rsid w:val="0074594B"/>
    <w:rsid w:val="00745C1D"/>
    <w:rsid w:val="00746B81"/>
    <w:rsid w:val="0074716D"/>
    <w:rsid w:val="00747FBA"/>
    <w:rsid w:val="00750714"/>
    <w:rsid w:val="0075143E"/>
    <w:rsid w:val="00752323"/>
    <w:rsid w:val="0075288F"/>
    <w:rsid w:val="00753A58"/>
    <w:rsid w:val="00753F13"/>
    <w:rsid w:val="00756430"/>
    <w:rsid w:val="007568C2"/>
    <w:rsid w:val="00756CEF"/>
    <w:rsid w:val="00757CE4"/>
    <w:rsid w:val="00757DE4"/>
    <w:rsid w:val="00762962"/>
    <w:rsid w:val="00763AED"/>
    <w:rsid w:val="00765969"/>
    <w:rsid w:val="007669FB"/>
    <w:rsid w:val="00771EE2"/>
    <w:rsid w:val="007727C2"/>
    <w:rsid w:val="00773E75"/>
    <w:rsid w:val="00774273"/>
    <w:rsid w:val="00776E79"/>
    <w:rsid w:val="00781405"/>
    <w:rsid w:val="0078530B"/>
    <w:rsid w:val="007855B2"/>
    <w:rsid w:val="0078570E"/>
    <w:rsid w:val="00785AC2"/>
    <w:rsid w:val="00786127"/>
    <w:rsid w:val="0079156C"/>
    <w:rsid w:val="0079542D"/>
    <w:rsid w:val="0079563F"/>
    <w:rsid w:val="007967AE"/>
    <w:rsid w:val="00797FB8"/>
    <w:rsid w:val="007A1065"/>
    <w:rsid w:val="007A22ED"/>
    <w:rsid w:val="007A2B20"/>
    <w:rsid w:val="007A4C3D"/>
    <w:rsid w:val="007A4C73"/>
    <w:rsid w:val="007A75A4"/>
    <w:rsid w:val="007B0974"/>
    <w:rsid w:val="007B207F"/>
    <w:rsid w:val="007B2103"/>
    <w:rsid w:val="007B4FF6"/>
    <w:rsid w:val="007B519B"/>
    <w:rsid w:val="007B569B"/>
    <w:rsid w:val="007B57C2"/>
    <w:rsid w:val="007B59C0"/>
    <w:rsid w:val="007B59E6"/>
    <w:rsid w:val="007B606C"/>
    <w:rsid w:val="007B6123"/>
    <w:rsid w:val="007B657A"/>
    <w:rsid w:val="007B785B"/>
    <w:rsid w:val="007C14C7"/>
    <w:rsid w:val="007C171A"/>
    <w:rsid w:val="007C182E"/>
    <w:rsid w:val="007C2633"/>
    <w:rsid w:val="007C317B"/>
    <w:rsid w:val="007C56DD"/>
    <w:rsid w:val="007C578B"/>
    <w:rsid w:val="007C5BBF"/>
    <w:rsid w:val="007C5F8A"/>
    <w:rsid w:val="007C6070"/>
    <w:rsid w:val="007C7F24"/>
    <w:rsid w:val="007D0AD9"/>
    <w:rsid w:val="007D44C1"/>
    <w:rsid w:val="007D497A"/>
    <w:rsid w:val="007D4F60"/>
    <w:rsid w:val="007D529B"/>
    <w:rsid w:val="007D53F3"/>
    <w:rsid w:val="007D622B"/>
    <w:rsid w:val="007D6770"/>
    <w:rsid w:val="007E3227"/>
    <w:rsid w:val="007E34A5"/>
    <w:rsid w:val="007E4AF3"/>
    <w:rsid w:val="007E4D5F"/>
    <w:rsid w:val="007E6831"/>
    <w:rsid w:val="007E7B64"/>
    <w:rsid w:val="007F0E03"/>
    <w:rsid w:val="007F10D9"/>
    <w:rsid w:val="007F26EA"/>
    <w:rsid w:val="007F2EE6"/>
    <w:rsid w:val="007F313B"/>
    <w:rsid w:val="007F333E"/>
    <w:rsid w:val="007F5C35"/>
    <w:rsid w:val="007F7AD3"/>
    <w:rsid w:val="00800FB5"/>
    <w:rsid w:val="00801777"/>
    <w:rsid w:val="008023F7"/>
    <w:rsid w:val="0080251B"/>
    <w:rsid w:val="00802865"/>
    <w:rsid w:val="00802EC2"/>
    <w:rsid w:val="0080322A"/>
    <w:rsid w:val="00803F83"/>
    <w:rsid w:val="00804105"/>
    <w:rsid w:val="008044D5"/>
    <w:rsid w:val="0080502A"/>
    <w:rsid w:val="00805A31"/>
    <w:rsid w:val="00806005"/>
    <w:rsid w:val="00811E9D"/>
    <w:rsid w:val="0081403C"/>
    <w:rsid w:val="00814CDC"/>
    <w:rsid w:val="00815078"/>
    <w:rsid w:val="00815123"/>
    <w:rsid w:val="00815127"/>
    <w:rsid w:val="0081549A"/>
    <w:rsid w:val="008154B5"/>
    <w:rsid w:val="00815609"/>
    <w:rsid w:val="0081662F"/>
    <w:rsid w:val="0082062E"/>
    <w:rsid w:val="0082096A"/>
    <w:rsid w:val="00821A75"/>
    <w:rsid w:val="008226DB"/>
    <w:rsid w:val="0082284B"/>
    <w:rsid w:val="008239BD"/>
    <w:rsid w:val="00825B35"/>
    <w:rsid w:val="00827EFB"/>
    <w:rsid w:val="00831082"/>
    <w:rsid w:val="008316BA"/>
    <w:rsid w:val="008324BB"/>
    <w:rsid w:val="008331BF"/>
    <w:rsid w:val="00833B16"/>
    <w:rsid w:val="008342E5"/>
    <w:rsid w:val="00834E2E"/>
    <w:rsid w:val="0083643A"/>
    <w:rsid w:val="00836A43"/>
    <w:rsid w:val="00840594"/>
    <w:rsid w:val="00842F11"/>
    <w:rsid w:val="00842F67"/>
    <w:rsid w:val="0084529B"/>
    <w:rsid w:val="008452CB"/>
    <w:rsid w:val="0084566F"/>
    <w:rsid w:val="00845ACD"/>
    <w:rsid w:val="008462BF"/>
    <w:rsid w:val="008505CD"/>
    <w:rsid w:val="008512BA"/>
    <w:rsid w:val="00851A8F"/>
    <w:rsid w:val="008529B4"/>
    <w:rsid w:val="00853874"/>
    <w:rsid w:val="008556CF"/>
    <w:rsid w:val="00856169"/>
    <w:rsid w:val="00856AAF"/>
    <w:rsid w:val="00857616"/>
    <w:rsid w:val="00857639"/>
    <w:rsid w:val="008604A0"/>
    <w:rsid w:val="00860A4F"/>
    <w:rsid w:val="00861092"/>
    <w:rsid w:val="00861F35"/>
    <w:rsid w:val="00862787"/>
    <w:rsid w:val="00863810"/>
    <w:rsid w:val="0086411B"/>
    <w:rsid w:val="0086572A"/>
    <w:rsid w:val="008674F3"/>
    <w:rsid w:val="008678FD"/>
    <w:rsid w:val="008679E7"/>
    <w:rsid w:val="00867B8C"/>
    <w:rsid w:val="00870918"/>
    <w:rsid w:val="00871AC2"/>
    <w:rsid w:val="00872430"/>
    <w:rsid w:val="008724C8"/>
    <w:rsid w:val="0087384B"/>
    <w:rsid w:val="008738C6"/>
    <w:rsid w:val="008746E2"/>
    <w:rsid w:val="008758F5"/>
    <w:rsid w:val="00876C91"/>
    <w:rsid w:val="00876C9C"/>
    <w:rsid w:val="008774E8"/>
    <w:rsid w:val="00882AC7"/>
    <w:rsid w:val="00883687"/>
    <w:rsid w:val="008855F0"/>
    <w:rsid w:val="008859F3"/>
    <w:rsid w:val="00885F4B"/>
    <w:rsid w:val="00890D95"/>
    <w:rsid w:val="00890DD0"/>
    <w:rsid w:val="0089138F"/>
    <w:rsid w:val="008919D6"/>
    <w:rsid w:val="00891F45"/>
    <w:rsid w:val="00892F24"/>
    <w:rsid w:val="008954DE"/>
    <w:rsid w:val="008956E3"/>
    <w:rsid w:val="00897561"/>
    <w:rsid w:val="008A10CE"/>
    <w:rsid w:val="008A13CD"/>
    <w:rsid w:val="008A33A0"/>
    <w:rsid w:val="008A4014"/>
    <w:rsid w:val="008A49E5"/>
    <w:rsid w:val="008A51DC"/>
    <w:rsid w:val="008A583F"/>
    <w:rsid w:val="008A5BE9"/>
    <w:rsid w:val="008A5E6D"/>
    <w:rsid w:val="008A62CB"/>
    <w:rsid w:val="008A68AB"/>
    <w:rsid w:val="008A6909"/>
    <w:rsid w:val="008A7FCB"/>
    <w:rsid w:val="008B133F"/>
    <w:rsid w:val="008B210C"/>
    <w:rsid w:val="008B2267"/>
    <w:rsid w:val="008B26C6"/>
    <w:rsid w:val="008B2ADD"/>
    <w:rsid w:val="008B40C9"/>
    <w:rsid w:val="008B4F45"/>
    <w:rsid w:val="008B50D9"/>
    <w:rsid w:val="008B57CE"/>
    <w:rsid w:val="008B595F"/>
    <w:rsid w:val="008B6019"/>
    <w:rsid w:val="008B6739"/>
    <w:rsid w:val="008B7828"/>
    <w:rsid w:val="008C01E3"/>
    <w:rsid w:val="008C0874"/>
    <w:rsid w:val="008C0C91"/>
    <w:rsid w:val="008C1A81"/>
    <w:rsid w:val="008C3C67"/>
    <w:rsid w:val="008C52A0"/>
    <w:rsid w:val="008C5529"/>
    <w:rsid w:val="008C56A1"/>
    <w:rsid w:val="008C6960"/>
    <w:rsid w:val="008C6A5C"/>
    <w:rsid w:val="008C7EB2"/>
    <w:rsid w:val="008D1D86"/>
    <w:rsid w:val="008D2F36"/>
    <w:rsid w:val="008D3F2B"/>
    <w:rsid w:val="008D4FC1"/>
    <w:rsid w:val="008D551D"/>
    <w:rsid w:val="008E048A"/>
    <w:rsid w:val="008E1558"/>
    <w:rsid w:val="008E365C"/>
    <w:rsid w:val="008E5060"/>
    <w:rsid w:val="008E50B5"/>
    <w:rsid w:val="008E5B84"/>
    <w:rsid w:val="008E7921"/>
    <w:rsid w:val="008F0C10"/>
    <w:rsid w:val="008F2805"/>
    <w:rsid w:val="008F2947"/>
    <w:rsid w:val="008F3281"/>
    <w:rsid w:val="008F4FF5"/>
    <w:rsid w:val="008F5E5E"/>
    <w:rsid w:val="008F64A9"/>
    <w:rsid w:val="008F6FB2"/>
    <w:rsid w:val="008F7F70"/>
    <w:rsid w:val="009002B4"/>
    <w:rsid w:val="00902A71"/>
    <w:rsid w:val="00903BC9"/>
    <w:rsid w:val="00904AE5"/>
    <w:rsid w:val="00905E3D"/>
    <w:rsid w:val="00905FFA"/>
    <w:rsid w:val="009079D5"/>
    <w:rsid w:val="00910208"/>
    <w:rsid w:val="009111F4"/>
    <w:rsid w:val="0091344D"/>
    <w:rsid w:val="00913D01"/>
    <w:rsid w:val="00913DE0"/>
    <w:rsid w:val="0091406D"/>
    <w:rsid w:val="00914082"/>
    <w:rsid w:val="009142A1"/>
    <w:rsid w:val="00914D95"/>
    <w:rsid w:val="009154F4"/>
    <w:rsid w:val="00915C6F"/>
    <w:rsid w:val="009166B1"/>
    <w:rsid w:val="00916AB7"/>
    <w:rsid w:val="009171E8"/>
    <w:rsid w:val="0091736E"/>
    <w:rsid w:val="00920152"/>
    <w:rsid w:val="009213F1"/>
    <w:rsid w:val="00921B1C"/>
    <w:rsid w:val="009239AC"/>
    <w:rsid w:val="009239D1"/>
    <w:rsid w:val="009245C7"/>
    <w:rsid w:val="00925E4F"/>
    <w:rsid w:val="00927F42"/>
    <w:rsid w:val="0093163D"/>
    <w:rsid w:val="00931EF0"/>
    <w:rsid w:val="009326B5"/>
    <w:rsid w:val="00932EB4"/>
    <w:rsid w:val="009333D4"/>
    <w:rsid w:val="0093357E"/>
    <w:rsid w:val="009352C1"/>
    <w:rsid w:val="00936869"/>
    <w:rsid w:val="00936C41"/>
    <w:rsid w:val="0093777C"/>
    <w:rsid w:val="00940059"/>
    <w:rsid w:val="00940F26"/>
    <w:rsid w:val="009419BE"/>
    <w:rsid w:val="009433D2"/>
    <w:rsid w:val="0094354E"/>
    <w:rsid w:val="0094518B"/>
    <w:rsid w:val="00947F5A"/>
    <w:rsid w:val="00950B62"/>
    <w:rsid w:val="00950C22"/>
    <w:rsid w:val="0095172C"/>
    <w:rsid w:val="009525E2"/>
    <w:rsid w:val="00953148"/>
    <w:rsid w:val="00953287"/>
    <w:rsid w:val="00953754"/>
    <w:rsid w:val="00954042"/>
    <w:rsid w:val="00954E65"/>
    <w:rsid w:val="00955EA9"/>
    <w:rsid w:val="00956215"/>
    <w:rsid w:val="00956A5E"/>
    <w:rsid w:val="00957014"/>
    <w:rsid w:val="009578B1"/>
    <w:rsid w:val="00961A56"/>
    <w:rsid w:val="00961FDA"/>
    <w:rsid w:val="00962B94"/>
    <w:rsid w:val="00963F94"/>
    <w:rsid w:val="0096548F"/>
    <w:rsid w:val="0096621D"/>
    <w:rsid w:val="00966EA7"/>
    <w:rsid w:val="00966F66"/>
    <w:rsid w:val="009679D2"/>
    <w:rsid w:val="009712E3"/>
    <w:rsid w:val="009718DE"/>
    <w:rsid w:val="009719BC"/>
    <w:rsid w:val="00971F6C"/>
    <w:rsid w:val="009728C4"/>
    <w:rsid w:val="00972F95"/>
    <w:rsid w:val="00973C78"/>
    <w:rsid w:val="00974F41"/>
    <w:rsid w:val="00975271"/>
    <w:rsid w:val="00976436"/>
    <w:rsid w:val="00977147"/>
    <w:rsid w:val="00980C94"/>
    <w:rsid w:val="009830CC"/>
    <w:rsid w:val="009830E4"/>
    <w:rsid w:val="00983396"/>
    <w:rsid w:val="00983412"/>
    <w:rsid w:val="00983A56"/>
    <w:rsid w:val="00983BDE"/>
    <w:rsid w:val="009874C3"/>
    <w:rsid w:val="00990460"/>
    <w:rsid w:val="0099179B"/>
    <w:rsid w:val="00992B51"/>
    <w:rsid w:val="00992C1D"/>
    <w:rsid w:val="00993898"/>
    <w:rsid w:val="0099576A"/>
    <w:rsid w:val="00995DB7"/>
    <w:rsid w:val="009964E0"/>
    <w:rsid w:val="009966AF"/>
    <w:rsid w:val="00997171"/>
    <w:rsid w:val="009A1400"/>
    <w:rsid w:val="009A172D"/>
    <w:rsid w:val="009A17F8"/>
    <w:rsid w:val="009A1A2C"/>
    <w:rsid w:val="009A234D"/>
    <w:rsid w:val="009A31B6"/>
    <w:rsid w:val="009A5A25"/>
    <w:rsid w:val="009A5A41"/>
    <w:rsid w:val="009A6189"/>
    <w:rsid w:val="009A6250"/>
    <w:rsid w:val="009A6E34"/>
    <w:rsid w:val="009A7188"/>
    <w:rsid w:val="009B0748"/>
    <w:rsid w:val="009B241B"/>
    <w:rsid w:val="009B3CE5"/>
    <w:rsid w:val="009B46C6"/>
    <w:rsid w:val="009B6789"/>
    <w:rsid w:val="009C1AAD"/>
    <w:rsid w:val="009C20E8"/>
    <w:rsid w:val="009C2422"/>
    <w:rsid w:val="009C3072"/>
    <w:rsid w:val="009C4F4B"/>
    <w:rsid w:val="009C5D01"/>
    <w:rsid w:val="009C635F"/>
    <w:rsid w:val="009C6AF6"/>
    <w:rsid w:val="009D0F3B"/>
    <w:rsid w:val="009D1C24"/>
    <w:rsid w:val="009D40B0"/>
    <w:rsid w:val="009D41F9"/>
    <w:rsid w:val="009D468A"/>
    <w:rsid w:val="009D5111"/>
    <w:rsid w:val="009D6420"/>
    <w:rsid w:val="009E00F7"/>
    <w:rsid w:val="009E192D"/>
    <w:rsid w:val="009E1BF0"/>
    <w:rsid w:val="009E2BE1"/>
    <w:rsid w:val="009E5300"/>
    <w:rsid w:val="009F1603"/>
    <w:rsid w:val="009F17D0"/>
    <w:rsid w:val="009F1973"/>
    <w:rsid w:val="009F337B"/>
    <w:rsid w:val="009F4EDD"/>
    <w:rsid w:val="009F6635"/>
    <w:rsid w:val="009F7017"/>
    <w:rsid w:val="009F7544"/>
    <w:rsid w:val="009F7558"/>
    <w:rsid w:val="00A007A7"/>
    <w:rsid w:val="00A00FC3"/>
    <w:rsid w:val="00A012EE"/>
    <w:rsid w:val="00A02111"/>
    <w:rsid w:val="00A025C1"/>
    <w:rsid w:val="00A0381C"/>
    <w:rsid w:val="00A03EE5"/>
    <w:rsid w:val="00A04014"/>
    <w:rsid w:val="00A05594"/>
    <w:rsid w:val="00A05662"/>
    <w:rsid w:val="00A067CB"/>
    <w:rsid w:val="00A079EA"/>
    <w:rsid w:val="00A11958"/>
    <w:rsid w:val="00A12138"/>
    <w:rsid w:val="00A16F9C"/>
    <w:rsid w:val="00A175A7"/>
    <w:rsid w:val="00A177D3"/>
    <w:rsid w:val="00A20335"/>
    <w:rsid w:val="00A20EFA"/>
    <w:rsid w:val="00A21177"/>
    <w:rsid w:val="00A221D3"/>
    <w:rsid w:val="00A226C3"/>
    <w:rsid w:val="00A23FFC"/>
    <w:rsid w:val="00A27048"/>
    <w:rsid w:val="00A275EE"/>
    <w:rsid w:val="00A32DE6"/>
    <w:rsid w:val="00A335BD"/>
    <w:rsid w:val="00A34FFE"/>
    <w:rsid w:val="00A3504D"/>
    <w:rsid w:val="00A35B4C"/>
    <w:rsid w:val="00A37344"/>
    <w:rsid w:val="00A37F2F"/>
    <w:rsid w:val="00A4163A"/>
    <w:rsid w:val="00A41ABA"/>
    <w:rsid w:val="00A41C62"/>
    <w:rsid w:val="00A4655B"/>
    <w:rsid w:val="00A47611"/>
    <w:rsid w:val="00A5426E"/>
    <w:rsid w:val="00A54923"/>
    <w:rsid w:val="00A54F26"/>
    <w:rsid w:val="00A55E05"/>
    <w:rsid w:val="00A56354"/>
    <w:rsid w:val="00A57AF7"/>
    <w:rsid w:val="00A61250"/>
    <w:rsid w:val="00A61A63"/>
    <w:rsid w:val="00A61F27"/>
    <w:rsid w:val="00A63188"/>
    <w:rsid w:val="00A63249"/>
    <w:rsid w:val="00A639A8"/>
    <w:rsid w:val="00A63FDE"/>
    <w:rsid w:val="00A64B0C"/>
    <w:rsid w:val="00A64E61"/>
    <w:rsid w:val="00A65B27"/>
    <w:rsid w:val="00A65D57"/>
    <w:rsid w:val="00A72359"/>
    <w:rsid w:val="00A72419"/>
    <w:rsid w:val="00A72509"/>
    <w:rsid w:val="00A736E8"/>
    <w:rsid w:val="00A73E76"/>
    <w:rsid w:val="00A73FEF"/>
    <w:rsid w:val="00A74C4E"/>
    <w:rsid w:val="00A76221"/>
    <w:rsid w:val="00A76479"/>
    <w:rsid w:val="00A7710D"/>
    <w:rsid w:val="00A7719D"/>
    <w:rsid w:val="00A8010F"/>
    <w:rsid w:val="00A818FD"/>
    <w:rsid w:val="00A81F75"/>
    <w:rsid w:val="00A825B3"/>
    <w:rsid w:val="00A831C3"/>
    <w:rsid w:val="00A8429B"/>
    <w:rsid w:val="00A855E2"/>
    <w:rsid w:val="00A85DB1"/>
    <w:rsid w:val="00A86304"/>
    <w:rsid w:val="00A87F82"/>
    <w:rsid w:val="00A953B5"/>
    <w:rsid w:val="00A95A7A"/>
    <w:rsid w:val="00A962AA"/>
    <w:rsid w:val="00AA01A9"/>
    <w:rsid w:val="00AA0DC7"/>
    <w:rsid w:val="00AA354D"/>
    <w:rsid w:val="00AA39E1"/>
    <w:rsid w:val="00AA4100"/>
    <w:rsid w:val="00AA60C3"/>
    <w:rsid w:val="00AA79E8"/>
    <w:rsid w:val="00AB181B"/>
    <w:rsid w:val="00AB1FF3"/>
    <w:rsid w:val="00AB520F"/>
    <w:rsid w:val="00AB5B05"/>
    <w:rsid w:val="00AC1D62"/>
    <w:rsid w:val="00AC1F82"/>
    <w:rsid w:val="00AC2A18"/>
    <w:rsid w:val="00AC3753"/>
    <w:rsid w:val="00AC4236"/>
    <w:rsid w:val="00AC7421"/>
    <w:rsid w:val="00AD116A"/>
    <w:rsid w:val="00AD16E0"/>
    <w:rsid w:val="00AD2D04"/>
    <w:rsid w:val="00AD396D"/>
    <w:rsid w:val="00AD3C39"/>
    <w:rsid w:val="00AD457F"/>
    <w:rsid w:val="00AD53AC"/>
    <w:rsid w:val="00AD570B"/>
    <w:rsid w:val="00AD79F0"/>
    <w:rsid w:val="00AD7B17"/>
    <w:rsid w:val="00AE19B4"/>
    <w:rsid w:val="00AE20EA"/>
    <w:rsid w:val="00AE27C7"/>
    <w:rsid w:val="00AE3166"/>
    <w:rsid w:val="00AE3961"/>
    <w:rsid w:val="00AE44B8"/>
    <w:rsid w:val="00AE58D3"/>
    <w:rsid w:val="00AE59E5"/>
    <w:rsid w:val="00AE5E9E"/>
    <w:rsid w:val="00AE6832"/>
    <w:rsid w:val="00AE6A9F"/>
    <w:rsid w:val="00AE70B1"/>
    <w:rsid w:val="00AE78E6"/>
    <w:rsid w:val="00AE7991"/>
    <w:rsid w:val="00AE7FE1"/>
    <w:rsid w:val="00AF174B"/>
    <w:rsid w:val="00AF2631"/>
    <w:rsid w:val="00AF30B1"/>
    <w:rsid w:val="00AF372B"/>
    <w:rsid w:val="00AF3757"/>
    <w:rsid w:val="00AF3EFB"/>
    <w:rsid w:val="00AF6BDF"/>
    <w:rsid w:val="00AF6D5C"/>
    <w:rsid w:val="00AF6E29"/>
    <w:rsid w:val="00AF79D8"/>
    <w:rsid w:val="00B006BF"/>
    <w:rsid w:val="00B00E8F"/>
    <w:rsid w:val="00B019EF"/>
    <w:rsid w:val="00B01CB4"/>
    <w:rsid w:val="00B021B4"/>
    <w:rsid w:val="00B02ADA"/>
    <w:rsid w:val="00B03510"/>
    <w:rsid w:val="00B04D30"/>
    <w:rsid w:val="00B0508B"/>
    <w:rsid w:val="00B05D89"/>
    <w:rsid w:val="00B06106"/>
    <w:rsid w:val="00B0669F"/>
    <w:rsid w:val="00B1065A"/>
    <w:rsid w:val="00B1080A"/>
    <w:rsid w:val="00B10EA8"/>
    <w:rsid w:val="00B1124B"/>
    <w:rsid w:val="00B122CE"/>
    <w:rsid w:val="00B12591"/>
    <w:rsid w:val="00B128BC"/>
    <w:rsid w:val="00B12DD6"/>
    <w:rsid w:val="00B140E6"/>
    <w:rsid w:val="00B14E00"/>
    <w:rsid w:val="00B158BB"/>
    <w:rsid w:val="00B15BD2"/>
    <w:rsid w:val="00B15D4A"/>
    <w:rsid w:val="00B21A21"/>
    <w:rsid w:val="00B223AC"/>
    <w:rsid w:val="00B23F0D"/>
    <w:rsid w:val="00B25AC8"/>
    <w:rsid w:val="00B25AE2"/>
    <w:rsid w:val="00B26B36"/>
    <w:rsid w:val="00B310BF"/>
    <w:rsid w:val="00B3275C"/>
    <w:rsid w:val="00B35047"/>
    <w:rsid w:val="00B363C4"/>
    <w:rsid w:val="00B37E63"/>
    <w:rsid w:val="00B4214F"/>
    <w:rsid w:val="00B4257B"/>
    <w:rsid w:val="00B43D0B"/>
    <w:rsid w:val="00B463E0"/>
    <w:rsid w:val="00B47A2A"/>
    <w:rsid w:val="00B47BD6"/>
    <w:rsid w:val="00B47C91"/>
    <w:rsid w:val="00B500AD"/>
    <w:rsid w:val="00B50357"/>
    <w:rsid w:val="00B50AE4"/>
    <w:rsid w:val="00B51490"/>
    <w:rsid w:val="00B52DA0"/>
    <w:rsid w:val="00B52FF2"/>
    <w:rsid w:val="00B5352B"/>
    <w:rsid w:val="00B5380D"/>
    <w:rsid w:val="00B563CD"/>
    <w:rsid w:val="00B579CA"/>
    <w:rsid w:val="00B60A04"/>
    <w:rsid w:val="00B6220E"/>
    <w:rsid w:val="00B63E60"/>
    <w:rsid w:val="00B65FF2"/>
    <w:rsid w:val="00B66670"/>
    <w:rsid w:val="00B66A4D"/>
    <w:rsid w:val="00B670EB"/>
    <w:rsid w:val="00B70A31"/>
    <w:rsid w:val="00B721A1"/>
    <w:rsid w:val="00B728ED"/>
    <w:rsid w:val="00B72924"/>
    <w:rsid w:val="00B72BB2"/>
    <w:rsid w:val="00B73C68"/>
    <w:rsid w:val="00B768AD"/>
    <w:rsid w:val="00B76F87"/>
    <w:rsid w:val="00B812E6"/>
    <w:rsid w:val="00B81ED5"/>
    <w:rsid w:val="00B836EA"/>
    <w:rsid w:val="00B8439A"/>
    <w:rsid w:val="00B86B38"/>
    <w:rsid w:val="00B87045"/>
    <w:rsid w:val="00B90318"/>
    <w:rsid w:val="00B90AD9"/>
    <w:rsid w:val="00B91C08"/>
    <w:rsid w:val="00B91D42"/>
    <w:rsid w:val="00B942D8"/>
    <w:rsid w:val="00B94872"/>
    <w:rsid w:val="00B950D6"/>
    <w:rsid w:val="00B9576B"/>
    <w:rsid w:val="00B958C6"/>
    <w:rsid w:val="00B95A25"/>
    <w:rsid w:val="00B95FE7"/>
    <w:rsid w:val="00B97FC6"/>
    <w:rsid w:val="00BA1874"/>
    <w:rsid w:val="00BA2D23"/>
    <w:rsid w:val="00BA3CC3"/>
    <w:rsid w:val="00BA3E89"/>
    <w:rsid w:val="00BA4591"/>
    <w:rsid w:val="00BA4FE3"/>
    <w:rsid w:val="00BA5E45"/>
    <w:rsid w:val="00BA65AD"/>
    <w:rsid w:val="00BA7817"/>
    <w:rsid w:val="00BB238B"/>
    <w:rsid w:val="00BB3272"/>
    <w:rsid w:val="00BB3359"/>
    <w:rsid w:val="00BB36F9"/>
    <w:rsid w:val="00BB3C8F"/>
    <w:rsid w:val="00BB4CC1"/>
    <w:rsid w:val="00BB5EAE"/>
    <w:rsid w:val="00BB60B1"/>
    <w:rsid w:val="00BC2239"/>
    <w:rsid w:val="00BC2EE5"/>
    <w:rsid w:val="00BC5961"/>
    <w:rsid w:val="00BC72F2"/>
    <w:rsid w:val="00BD0D54"/>
    <w:rsid w:val="00BD0E66"/>
    <w:rsid w:val="00BD134D"/>
    <w:rsid w:val="00BD20F0"/>
    <w:rsid w:val="00BD3992"/>
    <w:rsid w:val="00BD4068"/>
    <w:rsid w:val="00BD4DEB"/>
    <w:rsid w:val="00BD6856"/>
    <w:rsid w:val="00BD6AEB"/>
    <w:rsid w:val="00BE0B0A"/>
    <w:rsid w:val="00BE1520"/>
    <w:rsid w:val="00BE349A"/>
    <w:rsid w:val="00BE38B1"/>
    <w:rsid w:val="00BE4578"/>
    <w:rsid w:val="00BE4837"/>
    <w:rsid w:val="00BE53D7"/>
    <w:rsid w:val="00BE71F6"/>
    <w:rsid w:val="00BE767E"/>
    <w:rsid w:val="00BE7770"/>
    <w:rsid w:val="00BF02BC"/>
    <w:rsid w:val="00BF0579"/>
    <w:rsid w:val="00BF2E43"/>
    <w:rsid w:val="00BF384A"/>
    <w:rsid w:val="00BF4CFD"/>
    <w:rsid w:val="00BF5972"/>
    <w:rsid w:val="00BF6C06"/>
    <w:rsid w:val="00C0102C"/>
    <w:rsid w:val="00C05C6E"/>
    <w:rsid w:val="00C066E3"/>
    <w:rsid w:val="00C06E9F"/>
    <w:rsid w:val="00C07992"/>
    <w:rsid w:val="00C07F86"/>
    <w:rsid w:val="00C12EBD"/>
    <w:rsid w:val="00C13004"/>
    <w:rsid w:val="00C13DC5"/>
    <w:rsid w:val="00C16A1B"/>
    <w:rsid w:val="00C2063A"/>
    <w:rsid w:val="00C2096D"/>
    <w:rsid w:val="00C20A15"/>
    <w:rsid w:val="00C20B2C"/>
    <w:rsid w:val="00C2149E"/>
    <w:rsid w:val="00C24110"/>
    <w:rsid w:val="00C24608"/>
    <w:rsid w:val="00C24C96"/>
    <w:rsid w:val="00C24ED0"/>
    <w:rsid w:val="00C25774"/>
    <w:rsid w:val="00C30608"/>
    <w:rsid w:val="00C308FB"/>
    <w:rsid w:val="00C328A0"/>
    <w:rsid w:val="00C33F10"/>
    <w:rsid w:val="00C34955"/>
    <w:rsid w:val="00C34FF1"/>
    <w:rsid w:val="00C373A7"/>
    <w:rsid w:val="00C40409"/>
    <w:rsid w:val="00C40A9C"/>
    <w:rsid w:val="00C40B95"/>
    <w:rsid w:val="00C41074"/>
    <w:rsid w:val="00C412C3"/>
    <w:rsid w:val="00C42C7F"/>
    <w:rsid w:val="00C438F1"/>
    <w:rsid w:val="00C4510A"/>
    <w:rsid w:val="00C45AB3"/>
    <w:rsid w:val="00C471E8"/>
    <w:rsid w:val="00C504FB"/>
    <w:rsid w:val="00C50ADE"/>
    <w:rsid w:val="00C50E38"/>
    <w:rsid w:val="00C51747"/>
    <w:rsid w:val="00C51AE0"/>
    <w:rsid w:val="00C53BE2"/>
    <w:rsid w:val="00C55D72"/>
    <w:rsid w:val="00C56217"/>
    <w:rsid w:val="00C60A93"/>
    <w:rsid w:val="00C619DF"/>
    <w:rsid w:val="00C63EB1"/>
    <w:rsid w:val="00C67F25"/>
    <w:rsid w:val="00C707E7"/>
    <w:rsid w:val="00C71973"/>
    <w:rsid w:val="00C73B01"/>
    <w:rsid w:val="00C73BFC"/>
    <w:rsid w:val="00C75E15"/>
    <w:rsid w:val="00C7600D"/>
    <w:rsid w:val="00C86001"/>
    <w:rsid w:val="00C90031"/>
    <w:rsid w:val="00C901D4"/>
    <w:rsid w:val="00C9114D"/>
    <w:rsid w:val="00C91B41"/>
    <w:rsid w:val="00C9260D"/>
    <w:rsid w:val="00C92967"/>
    <w:rsid w:val="00C93D4C"/>
    <w:rsid w:val="00C97FEC"/>
    <w:rsid w:val="00CA0093"/>
    <w:rsid w:val="00CA0A55"/>
    <w:rsid w:val="00CA0E5A"/>
    <w:rsid w:val="00CA28DE"/>
    <w:rsid w:val="00CA4B4F"/>
    <w:rsid w:val="00CA4FCC"/>
    <w:rsid w:val="00CA548C"/>
    <w:rsid w:val="00CA660F"/>
    <w:rsid w:val="00CA68D4"/>
    <w:rsid w:val="00CA6DEE"/>
    <w:rsid w:val="00CA6FF7"/>
    <w:rsid w:val="00CA7E54"/>
    <w:rsid w:val="00CA7F9B"/>
    <w:rsid w:val="00CB2D11"/>
    <w:rsid w:val="00CB305E"/>
    <w:rsid w:val="00CB31B4"/>
    <w:rsid w:val="00CB5998"/>
    <w:rsid w:val="00CB7400"/>
    <w:rsid w:val="00CB7A61"/>
    <w:rsid w:val="00CC03BD"/>
    <w:rsid w:val="00CC120F"/>
    <w:rsid w:val="00CC1FA7"/>
    <w:rsid w:val="00CC26A9"/>
    <w:rsid w:val="00CC3457"/>
    <w:rsid w:val="00CC367B"/>
    <w:rsid w:val="00CC48BF"/>
    <w:rsid w:val="00CC4FD4"/>
    <w:rsid w:val="00CC52A3"/>
    <w:rsid w:val="00CC6A56"/>
    <w:rsid w:val="00CD0BAC"/>
    <w:rsid w:val="00CD1AB6"/>
    <w:rsid w:val="00CD1C90"/>
    <w:rsid w:val="00CD2311"/>
    <w:rsid w:val="00CD244D"/>
    <w:rsid w:val="00CD2781"/>
    <w:rsid w:val="00CD3797"/>
    <w:rsid w:val="00CD3BEF"/>
    <w:rsid w:val="00CD46CC"/>
    <w:rsid w:val="00CD4CCD"/>
    <w:rsid w:val="00CD671E"/>
    <w:rsid w:val="00CD783B"/>
    <w:rsid w:val="00CE00B3"/>
    <w:rsid w:val="00CE0523"/>
    <w:rsid w:val="00CE0AD1"/>
    <w:rsid w:val="00CE0F75"/>
    <w:rsid w:val="00CE13A6"/>
    <w:rsid w:val="00CE62EF"/>
    <w:rsid w:val="00CF0623"/>
    <w:rsid w:val="00CF120D"/>
    <w:rsid w:val="00CF362E"/>
    <w:rsid w:val="00CF5894"/>
    <w:rsid w:val="00CF5DF8"/>
    <w:rsid w:val="00CF729A"/>
    <w:rsid w:val="00CF7E92"/>
    <w:rsid w:val="00D005A3"/>
    <w:rsid w:val="00D00A87"/>
    <w:rsid w:val="00D01583"/>
    <w:rsid w:val="00D048EF"/>
    <w:rsid w:val="00D04C17"/>
    <w:rsid w:val="00D05882"/>
    <w:rsid w:val="00D1041A"/>
    <w:rsid w:val="00D110EC"/>
    <w:rsid w:val="00D11794"/>
    <w:rsid w:val="00D1205C"/>
    <w:rsid w:val="00D12EA4"/>
    <w:rsid w:val="00D2028F"/>
    <w:rsid w:val="00D21984"/>
    <w:rsid w:val="00D22497"/>
    <w:rsid w:val="00D234DF"/>
    <w:rsid w:val="00D23AE4"/>
    <w:rsid w:val="00D24272"/>
    <w:rsid w:val="00D2625E"/>
    <w:rsid w:val="00D31CC4"/>
    <w:rsid w:val="00D32279"/>
    <w:rsid w:val="00D325D5"/>
    <w:rsid w:val="00D32F05"/>
    <w:rsid w:val="00D33591"/>
    <w:rsid w:val="00D338A5"/>
    <w:rsid w:val="00D35257"/>
    <w:rsid w:val="00D36C84"/>
    <w:rsid w:val="00D4015C"/>
    <w:rsid w:val="00D4033A"/>
    <w:rsid w:val="00D42253"/>
    <w:rsid w:val="00D42D4C"/>
    <w:rsid w:val="00D44718"/>
    <w:rsid w:val="00D451D0"/>
    <w:rsid w:val="00D50DE0"/>
    <w:rsid w:val="00D51195"/>
    <w:rsid w:val="00D5192B"/>
    <w:rsid w:val="00D51A04"/>
    <w:rsid w:val="00D51E1F"/>
    <w:rsid w:val="00D544B8"/>
    <w:rsid w:val="00D5455D"/>
    <w:rsid w:val="00D54862"/>
    <w:rsid w:val="00D55C12"/>
    <w:rsid w:val="00D56A1C"/>
    <w:rsid w:val="00D56CDC"/>
    <w:rsid w:val="00D60B17"/>
    <w:rsid w:val="00D61EE2"/>
    <w:rsid w:val="00D63055"/>
    <w:rsid w:val="00D63775"/>
    <w:rsid w:val="00D63ADD"/>
    <w:rsid w:val="00D63BE1"/>
    <w:rsid w:val="00D640B9"/>
    <w:rsid w:val="00D6411C"/>
    <w:rsid w:val="00D6486D"/>
    <w:rsid w:val="00D65FA5"/>
    <w:rsid w:val="00D662FE"/>
    <w:rsid w:val="00D67E33"/>
    <w:rsid w:val="00D71A3A"/>
    <w:rsid w:val="00D729F4"/>
    <w:rsid w:val="00D72D3A"/>
    <w:rsid w:val="00D7335C"/>
    <w:rsid w:val="00D73571"/>
    <w:rsid w:val="00D735FA"/>
    <w:rsid w:val="00D7439C"/>
    <w:rsid w:val="00D74E35"/>
    <w:rsid w:val="00D75C70"/>
    <w:rsid w:val="00D76F4B"/>
    <w:rsid w:val="00D80C68"/>
    <w:rsid w:val="00D8132E"/>
    <w:rsid w:val="00D830EE"/>
    <w:rsid w:val="00D84793"/>
    <w:rsid w:val="00D85D07"/>
    <w:rsid w:val="00D8724C"/>
    <w:rsid w:val="00D8764A"/>
    <w:rsid w:val="00D900BD"/>
    <w:rsid w:val="00D903DA"/>
    <w:rsid w:val="00D922DE"/>
    <w:rsid w:val="00D95089"/>
    <w:rsid w:val="00D955A1"/>
    <w:rsid w:val="00D96773"/>
    <w:rsid w:val="00D96FEB"/>
    <w:rsid w:val="00D97763"/>
    <w:rsid w:val="00DA1A57"/>
    <w:rsid w:val="00DA1D72"/>
    <w:rsid w:val="00DA32B6"/>
    <w:rsid w:val="00DA43B0"/>
    <w:rsid w:val="00DA4A86"/>
    <w:rsid w:val="00DA61AD"/>
    <w:rsid w:val="00DA6605"/>
    <w:rsid w:val="00DA733B"/>
    <w:rsid w:val="00DA7566"/>
    <w:rsid w:val="00DA7709"/>
    <w:rsid w:val="00DB0393"/>
    <w:rsid w:val="00DB1838"/>
    <w:rsid w:val="00DB1E63"/>
    <w:rsid w:val="00DB393E"/>
    <w:rsid w:val="00DB5A0D"/>
    <w:rsid w:val="00DB5E1E"/>
    <w:rsid w:val="00DC05C3"/>
    <w:rsid w:val="00DC10AA"/>
    <w:rsid w:val="00DC3302"/>
    <w:rsid w:val="00DC62D3"/>
    <w:rsid w:val="00DC7048"/>
    <w:rsid w:val="00DC7CF5"/>
    <w:rsid w:val="00DD0194"/>
    <w:rsid w:val="00DD1403"/>
    <w:rsid w:val="00DD2390"/>
    <w:rsid w:val="00DD30F6"/>
    <w:rsid w:val="00DD3976"/>
    <w:rsid w:val="00DD470E"/>
    <w:rsid w:val="00DD4A29"/>
    <w:rsid w:val="00DD5392"/>
    <w:rsid w:val="00DD6BE0"/>
    <w:rsid w:val="00DD7587"/>
    <w:rsid w:val="00DE01E6"/>
    <w:rsid w:val="00DE1A1E"/>
    <w:rsid w:val="00DE1EC6"/>
    <w:rsid w:val="00DE4057"/>
    <w:rsid w:val="00DE4362"/>
    <w:rsid w:val="00DE4E4D"/>
    <w:rsid w:val="00DE55D5"/>
    <w:rsid w:val="00DE6847"/>
    <w:rsid w:val="00DE6C8F"/>
    <w:rsid w:val="00DF0101"/>
    <w:rsid w:val="00DF2742"/>
    <w:rsid w:val="00DF3D90"/>
    <w:rsid w:val="00DF5966"/>
    <w:rsid w:val="00DF6B55"/>
    <w:rsid w:val="00DF7820"/>
    <w:rsid w:val="00DF7A03"/>
    <w:rsid w:val="00E0090B"/>
    <w:rsid w:val="00E02D3A"/>
    <w:rsid w:val="00E037C6"/>
    <w:rsid w:val="00E04376"/>
    <w:rsid w:val="00E059CF"/>
    <w:rsid w:val="00E05B00"/>
    <w:rsid w:val="00E0636B"/>
    <w:rsid w:val="00E07EAA"/>
    <w:rsid w:val="00E10BF6"/>
    <w:rsid w:val="00E11C97"/>
    <w:rsid w:val="00E13BCF"/>
    <w:rsid w:val="00E1408C"/>
    <w:rsid w:val="00E1587D"/>
    <w:rsid w:val="00E173A8"/>
    <w:rsid w:val="00E17793"/>
    <w:rsid w:val="00E20471"/>
    <w:rsid w:val="00E20B1F"/>
    <w:rsid w:val="00E21639"/>
    <w:rsid w:val="00E226E5"/>
    <w:rsid w:val="00E22FBA"/>
    <w:rsid w:val="00E25AA0"/>
    <w:rsid w:val="00E25B81"/>
    <w:rsid w:val="00E30046"/>
    <w:rsid w:val="00E33B27"/>
    <w:rsid w:val="00E33BCF"/>
    <w:rsid w:val="00E34E2A"/>
    <w:rsid w:val="00E3617D"/>
    <w:rsid w:val="00E37F14"/>
    <w:rsid w:val="00E40F16"/>
    <w:rsid w:val="00E41111"/>
    <w:rsid w:val="00E42273"/>
    <w:rsid w:val="00E43BFF"/>
    <w:rsid w:val="00E43CF6"/>
    <w:rsid w:val="00E44D14"/>
    <w:rsid w:val="00E44D26"/>
    <w:rsid w:val="00E5015E"/>
    <w:rsid w:val="00E51F59"/>
    <w:rsid w:val="00E52110"/>
    <w:rsid w:val="00E54186"/>
    <w:rsid w:val="00E5435B"/>
    <w:rsid w:val="00E567D7"/>
    <w:rsid w:val="00E56BE4"/>
    <w:rsid w:val="00E60214"/>
    <w:rsid w:val="00E602D5"/>
    <w:rsid w:val="00E6099A"/>
    <w:rsid w:val="00E62CF5"/>
    <w:rsid w:val="00E63802"/>
    <w:rsid w:val="00E63A83"/>
    <w:rsid w:val="00E6454B"/>
    <w:rsid w:val="00E66316"/>
    <w:rsid w:val="00E66CA4"/>
    <w:rsid w:val="00E6789A"/>
    <w:rsid w:val="00E73563"/>
    <w:rsid w:val="00E73D4C"/>
    <w:rsid w:val="00E7415D"/>
    <w:rsid w:val="00E744E6"/>
    <w:rsid w:val="00E7470D"/>
    <w:rsid w:val="00E74D53"/>
    <w:rsid w:val="00E7624B"/>
    <w:rsid w:val="00E777AF"/>
    <w:rsid w:val="00E81097"/>
    <w:rsid w:val="00E812EF"/>
    <w:rsid w:val="00E824C1"/>
    <w:rsid w:val="00E828EE"/>
    <w:rsid w:val="00E82B9C"/>
    <w:rsid w:val="00E8656D"/>
    <w:rsid w:val="00E86776"/>
    <w:rsid w:val="00E86787"/>
    <w:rsid w:val="00E878E2"/>
    <w:rsid w:val="00E90609"/>
    <w:rsid w:val="00E926FA"/>
    <w:rsid w:val="00E94D5C"/>
    <w:rsid w:val="00E95D94"/>
    <w:rsid w:val="00EA08D4"/>
    <w:rsid w:val="00EA1167"/>
    <w:rsid w:val="00EA1544"/>
    <w:rsid w:val="00EA1973"/>
    <w:rsid w:val="00EA1BF1"/>
    <w:rsid w:val="00EA3819"/>
    <w:rsid w:val="00EA665C"/>
    <w:rsid w:val="00EA7771"/>
    <w:rsid w:val="00EB0E71"/>
    <w:rsid w:val="00EB33F7"/>
    <w:rsid w:val="00EC050F"/>
    <w:rsid w:val="00EC0D4A"/>
    <w:rsid w:val="00EC1D1B"/>
    <w:rsid w:val="00EC3072"/>
    <w:rsid w:val="00EC54A6"/>
    <w:rsid w:val="00EC5AB0"/>
    <w:rsid w:val="00EC5DFD"/>
    <w:rsid w:val="00EC5F90"/>
    <w:rsid w:val="00EC645C"/>
    <w:rsid w:val="00EC6463"/>
    <w:rsid w:val="00EC6E7E"/>
    <w:rsid w:val="00ED002A"/>
    <w:rsid w:val="00ED12CC"/>
    <w:rsid w:val="00ED23D1"/>
    <w:rsid w:val="00ED3AFB"/>
    <w:rsid w:val="00ED594A"/>
    <w:rsid w:val="00ED6022"/>
    <w:rsid w:val="00ED6B68"/>
    <w:rsid w:val="00ED6C7F"/>
    <w:rsid w:val="00EE08E9"/>
    <w:rsid w:val="00EE1609"/>
    <w:rsid w:val="00EE1F26"/>
    <w:rsid w:val="00EE22D4"/>
    <w:rsid w:val="00EE2C3E"/>
    <w:rsid w:val="00EE412F"/>
    <w:rsid w:val="00EE52B0"/>
    <w:rsid w:val="00EE5793"/>
    <w:rsid w:val="00EF19C8"/>
    <w:rsid w:val="00EF1D24"/>
    <w:rsid w:val="00EF4AAF"/>
    <w:rsid w:val="00EF6E20"/>
    <w:rsid w:val="00EF7196"/>
    <w:rsid w:val="00F00DC6"/>
    <w:rsid w:val="00F0244A"/>
    <w:rsid w:val="00F04051"/>
    <w:rsid w:val="00F060FA"/>
    <w:rsid w:val="00F06CF1"/>
    <w:rsid w:val="00F0747F"/>
    <w:rsid w:val="00F07DF3"/>
    <w:rsid w:val="00F10EF6"/>
    <w:rsid w:val="00F11036"/>
    <w:rsid w:val="00F118D7"/>
    <w:rsid w:val="00F12012"/>
    <w:rsid w:val="00F13AE4"/>
    <w:rsid w:val="00F13BC0"/>
    <w:rsid w:val="00F13ED5"/>
    <w:rsid w:val="00F142C8"/>
    <w:rsid w:val="00F15890"/>
    <w:rsid w:val="00F1686E"/>
    <w:rsid w:val="00F173C3"/>
    <w:rsid w:val="00F17B3A"/>
    <w:rsid w:val="00F17DDF"/>
    <w:rsid w:val="00F2072F"/>
    <w:rsid w:val="00F21308"/>
    <w:rsid w:val="00F23088"/>
    <w:rsid w:val="00F23FB7"/>
    <w:rsid w:val="00F2566D"/>
    <w:rsid w:val="00F2573B"/>
    <w:rsid w:val="00F27519"/>
    <w:rsid w:val="00F30CD4"/>
    <w:rsid w:val="00F323BE"/>
    <w:rsid w:val="00F332A2"/>
    <w:rsid w:val="00F33D86"/>
    <w:rsid w:val="00F341ED"/>
    <w:rsid w:val="00F34213"/>
    <w:rsid w:val="00F34F43"/>
    <w:rsid w:val="00F3577A"/>
    <w:rsid w:val="00F36FE4"/>
    <w:rsid w:val="00F37CEB"/>
    <w:rsid w:val="00F4009D"/>
    <w:rsid w:val="00F4087E"/>
    <w:rsid w:val="00F40F01"/>
    <w:rsid w:val="00F411E9"/>
    <w:rsid w:val="00F42092"/>
    <w:rsid w:val="00F42A7E"/>
    <w:rsid w:val="00F42EA6"/>
    <w:rsid w:val="00F443C1"/>
    <w:rsid w:val="00F44536"/>
    <w:rsid w:val="00F44577"/>
    <w:rsid w:val="00F455CF"/>
    <w:rsid w:val="00F47936"/>
    <w:rsid w:val="00F50A49"/>
    <w:rsid w:val="00F50E3D"/>
    <w:rsid w:val="00F512EF"/>
    <w:rsid w:val="00F51866"/>
    <w:rsid w:val="00F52026"/>
    <w:rsid w:val="00F544A5"/>
    <w:rsid w:val="00F54F1B"/>
    <w:rsid w:val="00F55860"/>
    <w:rsid w:val="00F57C84"/>
    <w:rsid w:val="00F60199"/>
    <w:rsid w:val="00F61137"/>
    <w:rsid w:val="00F6384F"/>
    <w:rsid w:val="00F63B86"/>
    <w:rsid w:val="00F64024"/>
    <w:rsid w:val="00F6464A"/>
    <w:rsid w:val="00F6551C"/>
    <w:rsid w:val="00F66FBA"/>
    <w:rsid w:val="00F71114"/>
    <w:rsid w:val="00F716D3"/>
    <w:rsid w:val="00F71838"/>
    <w:rsid w:val="00F737E9"/>
    <w:rsid w:val="00F75BCA"/>
    <w:rsid w:val="00F77912"/>
    <w:rsid w:val="00F802C0"/>
    <w:rsid w:val="00F802E0"/>
    <w:rsid w:val="00F80A53"/>
    <w:rsid w:val="00F82CC7"/>
    <w:rsid w:val="00F83E16"/>
    <w:rsid w:val="00F85315"/>
    <w:rsid w:val="00F8581C"/>
    <w:rsid w:val="00F860F9"/>
    <w:rsid w:val="00F86E0B"/>
    <w:rsid w:val="00F87047"/>
    <w:rsid w:val="00F87058"/>
    <w:rsid w:val="00F87496"/>
    <w:rsid w:val="00F87752"/>
    <w:rsid w:val="00F902F5"/>
    <w:rsid w:val="00F91223"/>
    <w:rsid w:val="00F9155E"/>
    <w:rsid w:val="00F91610"/>
    <w:rsid w:val="00F91A2D"/>
    <w:rsid w:val="00F91C6E"/>
    <w:rsid w:val="00F92F6B"/>
    <w:rsid w:val="00F934E6"/>
    <w:rsid w:val="00F94600"/>
    <w:rsid w:val="00F94F37"/>
    <w:rsid w:val="00F9796F"/>
    <w:rsid w:val="00FA0552"/>
    <w:rsid w:val="00FA3F84"/>
    <w:rsid w:val="00FA5102"/>
    <w:rsid w:val="00FA572C"/>
    <w:rsid w:val="00FA60D4"/>
    <w:rsid w:val="00FA619C"/>
    <w:rsid w:val="00FA7821"/>
    <w:rsid w:val="00FB03B6"/>
    <w:rsid w:val="00FB0A2B"/>
    <w:rsid w:val="00FB29C6"/>
    <w:rsid w:val="00FB2B4E"/>
    <w:rsid w:val="00FC1D00"/>
    <w:rsid w:val="00FC232F"/>
    <w:rsid w:val="00FC2B80"/>
    <w:rsid w:val="00FC2D5E"/>
    <w:rsid w:val="00FC3895"/>
    <w:rsid w:val="00FC3B43"/>
    <w:rsid w:val="00FC3F62"/>
    <w:rsid w:val="00FC4340"/>
    <w:rsid w:val="00FC5741"/>
    <w:rsid w:val="00FC62AF"/>
    <w:rsid w:val="00FC6AA3"/>
    <w:rsid w:val="00FC7201"/>
    <w:rsid w:val="00FC7EDD"/>
    <w:rsid w:val="00FD002A"/>
    <w:rsid w:val="00FD062D"/>
    <w:rsid w:val="00FD08A7"/>
    <w:rsid w:val="00FD0D72"/>
    <w:rsid w:val="00FD3DA5"/>
    <w:rsid w:val="00FD5DC2"/>
    <w:rsid w:val="00FD6180"/>
    <w:rsid w:val="00FD7904"/>
    <w:rsid w:val="00FE0429"/>
    <w:rsid w:val="00FE105E"/>
    <w:rsid w:val="00FE1CF8"/>
    <w:rsid w:val="00FE494D"/>
    <w:rsid w:val="00FE5157"/>
    <w:rsid w:val="00FE7AD4"/>
    <w:rsid w:val="00FF1AFD"/>
    <w:rsid w:val="00FF4DA2"/>
    <w:rsid w:val="00FF51B5"/>
    <w:rsid w:val="00FF63C4"/>
    <w:rsid w:val="00FF75D9"/>
    <w:rsid w:val="00FF79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AF6AFA"/>
  <w15:docId w15:val="{F0C5B38B-7788-419F-8131-3519B4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FA"/>
    <w:pPr>
      <w:widowControl w:val="0"/>
    </w:pPr>
    <w:rPr>
      <w:snapToGrid w:val="0"/>
      <w:lang w:val="es-ES_tradnl" w:eastAsia="es-ES"/>
    </w:rPr>
  </w:style>
  <w:style w:type="paragraph" w:styleId="Ttulo1">
    <w:name w:val="heading 1"/>
    <w:basedOn w:val="Normal"/>
    <w:next w:val="p0"/>
    <w:qFormat/>
    <w:rsid w:val="00E926FA"/>
    <w:pPr>
      <w:keepNext/>
      <w:spacing w:before="240"/>
      <w:outlineLvl w:val="0"/>
    </w:pPr>
    <w:rPr>
      <w:rFonts w:ascii="Arial" w:hAnsi="Arial"/>
      <w:b/>
      <w:color w:val="000000"/>
      <w:sz w:val="24"/>
    </w:rPr>
  </w:style>
  <w:style w:type="paragraph" w:styleId="Ttulo2">
    <w:name w:val="heading 2"/>
    <w:basedOn w:val="Normal"/>
    <w:next w:val="p0"/>
    <w:qFormat/>
    <w:rsid w:val="00E926FA"/>
    <w:pPr>
      <w:keepNext/>
      <w:spacing w:before="240"/>
      <w:jc w:val="center"/>
      <w:outlineLvl w:val="1"/>
    </w:pPr>
    <w:rPr>
      <w:rFonts w:ascii="Arial" w:hAnsi="Arial"/>
      <w:b/>
      <w:color w:val="000000"/>
      <w:sz w:val="28"/>
    </w:rPr>
  </w:style>
  <w:style w:type="paragraph" w:styleId="Ttulo3">
    <w:name w:val="heading 3"/>
    <w:basedOn w:val="Normal"/>
    <w:next w:val="Sangranormal"/>
    <w:qFormat/>
    <w:rsid w:val="00E926FA"/>
    <w:pPr>
      <w:jc w:val="center"/>
      <w:outlineLvl w:val="2"/>
    </w:pPr>
    <w:rPr>
      <w:rFonts w:ascii="Arial" w:hAnsi="Arial"/>
      <w:sz w:val="24"/>
    </w:rPr>
  </w:style>
  <w:style w:type="paragraph" w:styleId="Ttulo4">
    <w:name w:val="heading 4"/>
    <w:basedOn w:val="Normal"/>
    <w:next w:val="Normal"/>
    <w:qFormat/>
    <w:rsid w:val="00E926FA"/>
    <w:pPr>
      <w:keepNext/>
      <w:spacing w:before="360" w:after="240"/>
      <w:jc w:val="both"/>
      <w:outlineLvl w:val="3"/>
    </w:pPr>
    <w:rPr>
      <w:rFonts w:ascii="Arial" w:hAnsi="Arial"/>
      <w:sz w:val="24"/>
    </w:rPr>
  </w:style>
  <w:style w:type="paragraph" w:styleId="Ttulo5">
    <w:name w:val="heading 5"/>
    <w:basedOn w:val="Normal"/>
    <w:next w:val="Normal"/>
    <w:qFormat/>
    <w:rsid w:val="00E926FA"/>
    <w:pPr>
      <w:keepNext/>
      <w:spacing w:before="240"/>
      <w:jc w:val="both"/>
      <w:outlineLvl w:val="4"/>
    </w:pPr>
    <w:rPr>
      <w:rFonts w:ascii="Arial" w:hAnsi="Arial"/>
      <w:b/>
      <w:smallCaps/>
      <w:sz w:val="24"/>
      <w:u w:val="single"/>
    </w:rPr>
  </w:style>
  <w:style w:type="paragraph" w:styleId="Ttulo6">
    <w:name w:val="heading 6"/>
    <w:basedOn w:val="Normal"/>
    <w:next w:val="Normal"/>
    <w:qFormat/>
    <w:rsid w:val="00E926FA"/>
    <w:pPr>
      <w:keepNext/>
      <w:spacing w:before="240"/>
      <w:jc w:val="both"/>
      <w:outlineLvl w:val="5"/>
    </w:pPr>
    <w:rPr>
      <w:rFonts w:ascii="Arial" w:hAnsi="Arial"/>
      <w:b/>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rsid w:val="00E926FA"/>
    <w:pPr>
      <w:keepLines/>
      <w:spacing w:before="240"/>
      <w:jc w:val="both"/>
    </w:pPr>
    <w:rPr>
      <w:rFonts w:ascii="Arial" w:hAnsi="Arial"/>
      <w:color w:val="0000FF"/>
      <w:sz w:val="24"/>
    </w:rPr>
  </w:style>
  <w:style w:type="paragraph" w:styleId="Sangranormal">
    <w:name w:val="Normal Indent"/>
    <w:basedOn w:val="Normal"/>
    <w:rsid w:val="00E926FA"/>
    <w:pPr>
      <w:ind w:left="708"/>
    </w:pPr>
  </w:style>
  <w:style w:type="paragraph" w:styleId="Piedepgina">
    <w:name w:val="footer"/>
    <w:basedOn w:val="Normal"/>
    <w:link w:val="PiedepginaCar"/>
    <w:uiPriority w:val="99"/>
    <w:rsid w:val="00E926FA"/>
    <w:pPr>
      <w:tabs>
        <w:tab w:val="center" w:pos="4252"/>
        <w:tab w:val="right" w:pos="8504"/>
      </w:tabs>
    </w:pPr>
  </w:style>
  <w:style w:type="paragraph" w:styleId="Encabezado">
    <w:name w:val="header"/>
    <w:basedOn w:val="Normal"/>
    <w:link w:val="EncabezadoCar"/>
    <w:rsid w:val="00E926FA"/>
    <w:pPr>
      <w:tabs>
        <w:tab w:val="center" w:pos="4252"/>
        <w:tab w:val="right" w:pos="8504"/>
      </w:tabs>
    </w:pPr>
  </w:style>
  <w:style w:type="paragraph" w:customStyle="1" w:styleId="bullet">
    <w:name w:val="bullet"/>
    <w:basedOn w:val="Normal"/>
    <w:rsid w:val="00E926FA"/>
    <w:pPr>
      <w:spacing w:before="120"/>
      <w:ind w:left="2430" w:right="1440" w:hanging="274"/>
    </w:pPr>
    <w:rPr>
      <w:rFonts w:ascii="Arial" w:hAnsi="Arial"/>
      <w:b/>
      <w:color w:val="000080"/>
    </w:rPr>
  </w:style>
  <w:style w:type="paragraph" w:styleId="Textoindependiente">
    <w:name w:val="Body Text"/>
    <w:basedOn w:val="Normal"/>
    <w:link w:val="TextoindependienteCar"/>
    <w:rsid w:val="00E926FA"/>
    <w:pPr>
      <w:jc w:val="both"/>
    </w:pPr>
    <w:rPr>
      <w:rFonts w:ascii="Arial" w:hAnsi="Arial"/>
      <w:sz w:val="24"/>
    </w:rPr>
  </w:style>
  <w:style w:type="character" w:styleId="Hipervnculo">
    <w:name w:val="Hyperlink"/>
    <w:rsid w:val="00E926FA"/>
    <w:rPr>
      <w:color w:val="0000FF"/>
      <w:u w:val="single"/>
    </w:rPr>
  </w:style>
  <w:style w:type="character" w:styleId="Nmerodepgina">
    <w:name w:val="page number"/>
    <w:basedOn w:val="Fuentedeprrafopredeter"/>
    <w:rsid w:val="00E926FA"/>
  </w:style>
  <w:style w:type="character" w:styleId="Hipervnculovisitado">
    <w:name w:val="FollowedHyperlink"/>
    <w:rsid w:val="00E926FA"/>
    <w:rPr>
      <w:color w:val="800080"/>
      <w:u w:val="single"/>
    </w:rPr>
  </w:style>
  <w:style w:type="paragraph" w:customStyle="1" w:styleId="parr2">
    <w:name w:val="parr2"/>
    <w:basedOn w:val="Normal"/>
    <w:rsid w:val="00862787"/>
    <w:pPr>
      <w:widowControl/>
      <w:spacing w:before="600"/>
      <w:ind w:left="567" w:right="15"/>
      <w:jc w:val="both"/>
    </w:pPr>
    <w:rPr>
      <w:rFonts w:ascii="Arial" w:hAnsi="Arial"/>
      <w:snapToGrid/>
      <w:sz w:val="24"/>
    </w:rPr>
  </w:style>
  <w:style w:type="paragraph" w:styleId="Textonotapie">
    <w:name w:val="footnote text"/>
    <w:basedOn w:val="Normal"/>
    <w:link w:val="TextonotapieCar"/>
    <w:rsid w:val="003F2F1E"/>
  </w:style>
  <w:style w:type="character" w:styleId="Refdenotaalpie">
    <w:name w:val="footnote reference"/>
    <w:rsid w:val="003F2F1E"/>
    <w:rPr>
      <w:vertAlign w:val="superscript"/>
    </w:rPr>
  </w:style>
  <w:style w:type="character" w:customStyle="1" w:styleId="TextoindependienteCar">
    <w:name w:val="Texto independiente Car"/>
    <w:link w:val="Textoindependiente"/>
    <w:rsid w:val="00F23088"/>
    <w:rPr>
      <w:rFonts w:ascii="Arial" w:hAnsi="Arial"/>
      <w:snapToGrid w:val="0"/>
      <w:sz w:val="24"/>
      <w:lang w:val="es-ES_tradnl" w:eastAsia="es-ES"/>
    </w:rPr>
  </w:style>
  <w:style w:type="paragraph" w:styleId="Textodeglobo">
    <w:name w:val="Balloon Text"/>
    <w:basedOn w:val="Normal"/>
    <w:link w:val="TextodegloboCar"/>
    <w:rsid w:val="00890D95"/>
    <w:rPr>
      <w:rFonts w:ascii="Tahoma" w:hAnsi="Tahoma"/>
      <w:sz w:val="16"/>
      <w:szCs w:val="16"/>
    </w:rPr>
  </w:style>
  <w:style w:type="character" w:customStyle="1" w:styleId="TextodegloboCar">
    <w:name w:val="Texto de globo Car"/>
    <w:link w:val="Textodeglobo"/>
    <w:rsid w:val="00890D95"/>
    <w:rPr>
      <w:rFonts w:ascii="Tahoma" w:hAnsi="Tahoma" w:cs="Tahoma"/>
      <w:snapToGrid w:val="0"/>
      <w:sz w:val="16"/>
      <w:szCs w:val="16"/>
      <w:lang w:val="es-ES_tradnl" w:eastAsia="es-ES"/>
    </w:rPr>
  </w:style>
  <w:style w:type="character" w:styleId="Refdecomentario">
    <w:name w:val="annotation reference"/>
    <w:rsid w:val="00720257"/>
    <w:rPr>
      <w:sz w:val="16"/>
      <w:szCs w:val="16"/>
    </w:rPr>
  </w:style>
  <w:style w:type="paragraph" w:styleId="Textocomentario">
    <w:name w:val="annotation text"/>
    <w:basedOn w:val="Normal"/>
    <w:link w:val="TextocomentarioCar"/>
    <w:rsid w:val="00720257"/>
  </w:style>
  <w:style w:type="character" w:customStyle="1" w:styleId="TextocomentarioCar">
    <w:name w:val="Texto comentario Car"/>
    <w:link w:val="Textocomentario"/>
    <w:rsid w:val="00720257"/>
    <w:rPr>
      <w:snapToGrid w:val="0"/>
      <w:lang w:val="es-ES_tradnl"/>
    </w:rPr>
  </w:style>
  <w:style w:type="paragraph" w:styleId="Asuntodelcomentario">
    <w:name w:val="annotation subject"/>
    <w:basedOn w:val="Textocomentario"/>
    <w:next w:val="Textocomentario"/>
    <w:link w:val="AsuntodelcomentarioCar"/>
    <w:rsid w:val="00720257"/>
    <w:rPr>
      <w:b/>
      <w:bCs/>
    </w:rPr>
  </w:style>
  <w:style w:type="character" w:customStyle="1" w:styleId="AsuntodelcomentarioCar">
    <w:name w:val="Asunto del comentario Car"/>
    <w:link w:val="Asuntodelcomentario"/>
    <w:rsid w:val="00720257"/>
    <w:rPr>
      <w:b/>
      <w:bCs/>
      <w:snapToGrid w:val="0"/>
      <w:lang w:val="es-ES_tradnl"/>
    </w:rPr>
  </w:style>
  <w:style w:type="paragraph" w:styleId="Textoindependiente2">
    <w:name w:val="Body Text 2"/>
    <w:basedOn w:val="Normal"/>
    <w:link w:val="Textoindependiente2Car"/>
    <w:rsid w:val="005B53C9"/>
    <w:pPr>
      <w:spacing w:after="120" w:line="480" w:lineRule="auto"/>
    </w:pPr>
  </w:style>
  <w:style w:type="character" w:customStyle="1" w:styleId="Textoindependiente2Car">
    <w:name w:val="Texto independiente 2 Car"/>
    <w:link w:val="Textoindependiente2"/>
    <w:rsid w:val="005B53C9"/>
    <w:rPr>
      <w:snapToGrid w:val="0"/>
      <w:lang w:val="es-ES_tradnl" w:eastAsia="es-ES"/>
    </w:rPr>
  </w:style>
  <w:style w:type="paragraph" w:customStyle="1" w:styleId="Profesin">
    <w:name w:val="Profesión"/>
    <w:basedOn w:val="Normal"/>
    <w:rsid w:val="005B53C9"/>
    <w:pPr>
      <w:widowControl/>
      <w:jc w:val="center"/>
    </w:pPr>
    <w:rPr>
      <w:rFonts w:ascii="Arial" w:hAnsi="Arial"/>
      <w:b/>
      <w:caps/>
      <w:snapToGrid/>
      <w:sz w:val="28"/>
    </w:rPr>
  </w:style>
  <w:style w:type="paragraph" w:customStyle="1" w:styleId="n01">
    <w:name w:val="n01"/>
    <w:basedOn w:val="Normal"/>
    <w:rsid w:val="005B53C9"/>
    <w:pPr>
      <w:keepLines/>
      <w:widowControl/>
      <w:spacing w:before="240"/>
      <w:ind w:left="720" w:hanging="720"/>
      <w:jc w:val="both"/>
    </w:pPr>
    <w:rPr>
      <w:rFonts w:ascii="Univers (W1)" w:hAnsi="Univers (W1)"/>
      <w:snapToGrid/>
      <w:color w:val="800080"/>
      <w:sz w:val="24"/>
    </w:rPr>
  </w:style>
  <w:style w:type="table" w:styleId="Tablaclsica3">
    <w:name w:val="Table Classic 3"/>
    <w:basedOn w:val="Tablanormal"/>
    <w:rsid w:val="00D96FEB"/>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rrafodelista">
    <w:name w:val="List Paragraph"/>
    <w:basedOn w:val="Normal"/>
    <w:uiPriority w:val="34"/>
    <w:qFormat/>
    <w:rsid w:val="00BD4068"/>
    <w:pPr>
      <w:ind w:left="720"/>
      <w:contextualSpacing/>
    </w:pPr>
  </w:style>
  <w:style w:type="paragraph" w:customStyle="1" w:styleId="Textodebloque1">
    <w:name w:val="Texto de bloque1"/>
    <w:basedOn w:val="Normal"/>
    <w:rsid w:val="00E63802"/>
    <w:pPr>
      <w:widowControl/>
      <w:spacing w:before="240"/>
      <w:ind w:left="1843" w:right="1361" w:hanging="273"/>
      <w:jc w:val="both"/>
    </w:pPr>
    <w:rPr>
      <w:rFonts w:ascii="Arial" w:hAnsi="Arial"/>
      <w:b/>
      <w:snapToGrid/>
      <w:sz w:val="22"/>
    </w:rPr>
  </w:style>
  <w:style w:type="character" w:customStyle="1" w:styleId="TextonotapieCar">
    <w:name w:val="Texto nota pie Car"/>
    <w:link w:val="Textonotapie"/>
    <w:rsid w:val="0004322E"/>
    <w:rPr>
      <w:snapToGrid w:val="0"/>
      <w:lang w:val="es-ES_tradnl"/>
    </w:rPr>
  </w:style>
  <w:style w:type="paragraph" w:styleId="Textodebloque">
    <w:name w:val="Block Text"/>
    <w:basedOn w:val="Normal"/>
    <w:rsid w:val="002871A3"/>
    <w:pPr>
      <w:widowControl/>
      <w:spacing w:before="240"/>
      <w:ind w:left="-142" w:right="-91"/>
      <w:jc w:val="center"/>
    </w:pPr>
    <w:rPr>
      <w:rFonts w:ascii="Arial" w:hAnsi="Arial"/>
      <w:b/>
      <w:caps/>
      <w:snapToGrid/>
      <w:sz w:val="24"/>
    </w:rPr>
  </w:style>
  <w:style w:type="paragraph" w:styleId="Revisin">
    <w:name w:val="Revision"/>
    <w:hidden/>
    <w:uiPriority w:val="99"/>
    <w:semiHidden/>
    <w:rsid w:val="003B42FB"/>
    <w:rPr>
      <w:snapToGrid w:val="0"/>
      <w:lang w:val="es-ES_tradnl" w:eastAsia="es-ES"/>
    </w:rPr>
  </w:style>
  <w:style w:type="table" w:styleId="Tablaconcuadrcula">
    <w:name w:val="Table Grid"/>
    <w:basedOn w:val="Tablanormal"/>
    <w:rsid w:val="0081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669"/>
    <w:pPr>
      <w:widowControl/>
      <w:spacing w:before="100" w:beforeAutospacing="1" w:after="100" w:afterAutospacing="1"/>
    </w:pPr>
    <w:rPr>
      <w:rFonts w:ascii="Arial" w:hAnsi="Arial" w:cs="Arial"/>
      <w:snapToGrid/>
      <w:color w:val="000000"/>
      <w:sz w:val="16"/>
      <w:szCs w:val="16"/>
      <w:lang w:val="es-ES"/>
    </w:rPr>
  </w:style>
  <w:style w:type="character" w:customStyle="1" w:styleId="EncabezadoCar">
    <w:name w:val="Encabezado Car"/>
    <w:basedOn w:val="Fuentedeprrafopredeter"/>
    <w:link w:val="Encabezado"/>
    <w:rsid w:val="00804105"/>
    <w:rPr>
      <w:snapToGrid w:val="0"/>
      <w:lang w:val="es-ES_tradnl" w:eastAsia="es-ES"/>
    </w:rPr>
  </w:style>
  <w:style w:type="character" w:customStyle="1" w:styleId="PiedepginaCar">
    <w:name w:val="Pie de página Car"/>
    <w:basedOn w:val="Fuentedeprrafopredeter"/>
    <w:link w:val="Piedepgina"/>
    <w:uiPriority w:val="99"/>
    <w:rsid w:val="003B0D99"/>
    <w:rPr>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517">
      <w:bodyDiv w:val="1"/>
      <w:marLeft w:val="0"/>
      <w:marRight w:val="0"/>
      <w:marTop w:val="0"/>
      <w:marBottom w:val="0"/>
      <w:divBdr>
        <w:top w:val="none" w:sz="0" w:space="0" w:color="auto"/>
        <w:left w:val="none" w:sz="0" w:space="0" w:color="auto"/>
        <w:bottom w:val="none" w:sz="0" w:space="0" w:color="auto"/>
        <w:right w:val="none" w:sz="0" w:space="0" w:color="auto"/>
      </w:divBdr>
    </w:div>
    <w:div w:id="98065343">
      <w:bodyDiv w:val="1"/>
      <w:marLeft w:val="0"/>
      <w:marRight w:val="0"/>
      <w:marTop w:val="0"/>
      <w:marBottom w:val="0"/>
      <w:divBdr>
        <w:top w:val="none" w:sz="0" w:space="0" w:color="auto"/>
        <w:left w:val="none" w:sz="0" w:space="0" w:color="auto"/>
        <w:bottom w:val="none" w:sz="0" w:space="0" w:color="auto"/>
        <w:right w:val="none" w:sz="0" w:space="0" w:color="auto"/>
      </w:divBdr>
    </w:div>
    <w:div w:id="131600353">
      <w:bodyDiv w:val="1"/>
      <w:marLeft w:val="0"/>
      <w:marRight w:val="0"/>
      <w:marTop w:val="0"/>
      <w:marBottom w:val="0"/>
      <w:divBdr>
        <w:top w:val="none" w:sz="0" w:space="0" w:color="auto"/>
        <w:left w:val="none" w:sz="0" w:space="0" w:color="auto"/>
        <w:bottom w:val="none" w:sz="0" w:space="0" w:color="auto"/>
        <w:right w:val="none" w:sz="0" w:space="0" w:color="auto"/>
      </w:divBdr>
    </w:div>
    <w:div w:id="139854292">
      <w:bodyDiv w:val="1"/>
      <w:marLeft w:val="0"/>
      <w:marRight w:val="0"/>
      <w:marTop w:val="0"/>
      <w:marBottom w:val="0"/>
      <w:divBdr>
        <w:top w:val="none" w:sz="0" w:space="0" w:color="auto"/>
        <w:left w:val="none" w:sz="0" w:space="0" w:color="auto"/>
        <w:bottom w:val="none" w:sz="0" w:space="0" w:color="auto"/>
        <w:right w:val="none" w:sz="0" w:space="0" w:color="auto"/>
      </w:divBdr>
    </w:div>
    <w:div w:id="259800205">
      <w:bodyDiv w:val="1"/>
      <w:marLeft w:val="0"/>
      <w:marRight w:val="0"/>
      <w:marTop w:val="0"/>
      <w:marBottom w:val="0"/>
      <w:divBdr>
        <w:top w:val="none" w:sz="0" w:space="0" w:color="auto"/>
        <w:left w:val="none" w:sz="0" w:space="0" w:color="auto"/>
        <w:bottom w:val="none" w:sz="0" w:space="0" w:color="auto"/>
        <w:right w:val="none" w:sz="0" w:space="0" w:color="auto"/>
      </w:divBdr>
    </w:div>
    <w:div w:id="276569494">
      <w:bodyDiv w:val="1"/>
      <w:marLeft w:val="0"/>
      <w:marRight w:val="0"/>
      <w:marTop w:val="0"/>
      <w:marBottom w:val="0"/>
      <w:divBdr>
        <w:top w:val="none" w:sz="0" w:space="0" w:color="auto"/>
        <w:left w:val="none" w:sz="0" w:space="0" w:color="auto"/>
        <w:bottom w:val="none" w:sz="0" w:space="0" w:color="auto"/>
        <w:right w:val="none" w:sz="0" w:space="0" w:color="auto"/>
      </w:divBdr>
    </w:div>
    <w:div w:id="297077856">
      <w:bodyDiv w:val="1"/>
      <w:marLeft w:val="0"/>
      <w:marRight w:val="0"/>
      <w:marTop w:val="0"/>
      <w:marBottom w:val="0"/>
      <w:divBdr>
        <w:top w:val="none" w:sz="0" w:space="0" w:color="auto"/>
        <w:left w:val="none" w:sz="0" w:space="0" w:color="auto"/>
        <w:bottom w:val="none" w:sz="0" w:space="0" w:color="auto"/>
        <w:right w:val="none" w:sz="0" w:space="0" w:color="auto"/>
      </w:divBdr>
    </w:div>
    <w:div w:id="358968570">
      <w:bodyDiv w:val="1"/>
      <w:marLeft w:val="0"/>
      <w:marRight w:val="0"/>
      <w:marTop w:val="0"/>
      <w:marBottom w:val="0"/>
      <w:divBdr>
        <w:top w:val="none" w:sz="0" w:space="0" w:color="auto"/>
        <w:left w:val="none" w:sz="0" w:space="0" w:color="auto"/>
        <w:bottom w:val="none" w:sz="0" w:space="0" w:color="auto"/>
        <w:right w:val="none" w:sz="0" w:space="0" w:color="auto"/>
      </w:divBdr>
    </w:div>
    <w:div w:id="399209552">
      <w:bodyDiv w:val="1"/>
      <w:marLeft w:val="0"/>
      <w:marRight w:val="0"/>
      <w:marTop w:val="0"/>
      <w:marBottom w:val="0"/>
      <w:divBdr>
        <w:top w:val="none" w:sz="0" w:space="0" w:color="auto"/>
        <w:left w:val="none" w:sz="0" w:space="0" w:color="auto"/>
        <w:bottom w:val="none" w:sz="0" w:space="0" w:color="auto"/>
        <w:right w:val="none" w:sz="0" w:space="0" w:color="auto"/>
      </w:divBdr>
    </w:div>
    <w:div w:id="427041682">
      <w:bodyDiv w:val="1"/>
      <w:marLeft w:val="0"/>
      <w:marRight w:val="0"/>
      <w:marTop w:val="0"/>
      <w:marBottom w:val="0"/>
      <w:divBdr>
        <w:top w:val="none" w:sz="0" w:space="0" w:color="auto"/>
        <w:left w:val="none" w:sz="0" w:space="0" w:color="auto"/>
        <w:bottom w:val="none" w:sz="0" w:space="0" w:color="auto"/>
        <w:right w:val="none" w:sz="0" w:space="0" w:color="auto"/>
      </w:divBdr>
    </w:div>
    <w:div w:id="450706493">
      <w:bodyDiv w:val="1"/>
      <w:marLeft w:val="0"/>
      <w:marRight w:val="0"/>
      <w:marTop w:val="0"/>
      <w:marBottom w:val="0"/>
      <w:divBdr>
        <w:top w:val="none" w:sz="0" w:space="0" w:color="auto"/>
        <w:left w:val="none" w:sz="0" w:space="0" w:color="auto"/>
        <w:bottom w:val="none" w:sz="0" w:space="0" w:color="auto"/>
        <w:right w:val="none" w:sz="0" w:space="0" w:color="auto"/>
      </w:divBdr>
    </w:div>
    <w:div w:id="522323993">
      <w:bodyDiv w:val="1"/>
      <w:marLeft w:val="0"/>
      <w:marRight w:val="0"/>
      <w:marTop w:val="0"/>
      <w:marBottom w:val="0"/>
      <w:divBdr>
        <w:top w:val="none" w:sz="0" w:space="0" w:color="auto"/>
        <w:left w:val="none" w:sz="0" w:space="0" w:color="auto"/>
        <w:bottom w:val="none" w:sz="0" w:space="0" w:color="auto"/>
        <w:right w:val="none" w:sz="0" w:space="0" w:color="auto"/>
      </w:divBdr>
      <w:divsChild>
        <w:div w:id="692073500">
          <w:marLeft w:val="547"/>
          <w:marRight w:val="0"/>
          <w:marTop w:val="240"/>
          <w:marBottom w:val="240"/>
          <w:divBdr>
            <w:top w:val="none" w:sz="0" w:space="0" w:color="auto"/>
            <w:left w:val="none" w:sz="0" w:space="0" w:color="auto"/>
            <w:bottom w:val="none" w:sz="0" w:space="0" w:color="auto"/>
            <w:right w:val="none" w:sz="0" w:space="0" w:color="auto"/>
          </w:divBdr>
        </w:div>
      </w:divsChild>
    </w:div>
    <w:div w:id="548996559">
      <w:bodyDiv w:val="1"/>
      <w:marLeft w:val="0"/>
      <w:marRight w:val="0"/>
      <w:marTop w:val="0"/>
      <w:marBottom w:val="0"/>
      <w:divBdr>
        <w:top w:val="none" w:sz="0" w:space="0" w:color="auto"/>
        <w:left w:val="none" w:sz="0" w:space="0" w:color="auto"/>
        <w:bottom w:val="none" w:sz="0" w:space="0" w:color="auto"/>
        <w:right w:val="none" w:sz="0" w:space="0" w:color="auto"/>
      </w:divBdr>
    </w:div>
    <w:div w:id="613441958">
      <w:bodyDiv w:val="1"/>
      <w:marLeft w:val="0"/>
      <w:marRight w:val="0"/>
      <w:marTop w:val="0"/>
      <w:marBottom w:val="0"/>
      <w:divBdr>
        <w:top w:val="none" w:sz="0" w:space="0" w:color="auto"/>
        <w:left w:val="none" w:sz="0" w:space="0" w:color="auto"/>
        <w:bottom w:val="none" w:sz="0" w:space="0" w:color="auto"/>
        <w:right w:val="none" w:sz="0" w:space="0" w:color="auto"/>
      </w:divBdr>
    </w:div>
    <w:div w:id="637494440">
      <w:bodyDiv w:val="1"/>
      <w:marLeft w:val="0"/>
      <w:marRight w:val="0"/>
      <w:marTop w:val="0"/>
      <w:marBottom w:val="0"/>
      <w:divBdr>
        <w:top w:val="none" w:sz="0" w:space="0" w:color="auto"/>
        <w:left w:val="none" w:sz="0" w:space="0" w:color="auto"/>
        <w:bottom w:val="none" w:sz="0" w:space="0" w:color="auto"/>
        <w:right w:val="none" w:sz="0" w:space="0" w:color="auto"/>
      </w:divBdr>
    </w:div>
    <w:div w:id="801923853">
      <w:bodyDiv w:val="1"/>
      <w:marLeft w:val="0"/>
      <w:marRight w:val="0"/>
      <w:marTop w:val="0"/>
      <w:marBottom w:val="0"/>
      <w:divBdr>
        <w:top w:val="none" w:sz="0" w:space="0" w:color="auto"/>
        <w:left w:val="none" w:sz="0" w:space="0" w:color="auto"/>
        <w:bottom w:val="none" w:sz="0" w:space="0" w:color="auto"/>
        <w:right w:val="none" w:sz="0" w:space="0" w:color="auto"/>
      </w:divBdr>
    </w:div>
    <w:div w:id="894388172">
      <w:bodyDiv w:val="1"/>
      <w:marLeft w:val="0"/>
      <w:marRight w:val="0"/>
      <w:marTop w:val="0"/>
      <w:marBottom w:val="0"/>
      <w:divBdr>
        <w:top w:val="none" w:sz="0" w:space="0" w:color="auto"/>
        <w:left w:val="none" w:sz="0" w:space="0" w:color="auto"/>
        <w:bottom w:val="none" w:sz="0" w:space="0" w:color="auto"/>
        <w:right w:val="none" w:sz="0" w:space="0" w:color="auto"/>
      </w:divBdr>
    </w:div>
    <w:div w:id="897521745">
      <w:bodyDiv w:val="1"/>
      <w:marLeft w:val="0"/>
      <w:marRight w:val="0"/>
      <w:marTop w:val="0"/>
      <w:marBottom w:val="0"/>
      <w:divBdr>
        <w:top w:val="none" w:sz="0" w:space="0" w:color="auto"/>
        <w:left w:val="none" w:sz="0" w:space="0" w:color="auto"/>
        <w:bottom w:val="none" w:sz="0" w:space="0" w:color="auto"/>
        <w:right w:val="none" w:sz="0" w:space="0" w:color="auto"/>
      </w:divBdr>
    </w:div>
    <w:div w:id="944964395">
      <w:bodyDiv w:val="1"/>
      <w:marLeft w:val="0"/>
      <w:marRight w:val="0"/>
      <w:marTop w:val="0"/>
      <w:marBottom w:val="0"/>
      <w:divBdr>
        <w:top w:val="none" w:sz="0" w:space="0" w:color="auto"/>
        <w:left w:val="none" w:sz="0" w:space="0" w:color="auto"/>
        <w:bottom w:val="none" w:sz="0" w:space="0" w:color="auto"/>
        <w:right w:val="none" w:sz="0" w:space="0" w:color="auto"/>
      </w:divBdr>
    </w:div>
    <w:div w:id="1022051266">
      <w:bodyDiv w:val="1"/>
      <w:marLeft w:val="0"/>
      <w:marRight w:val="0"/>
      <w:marTop w:val="0"/>
      <w:marBottom w:val="0"/>
      <w:divBdr>
        <w:top w:val="none" w:sz="0" w:space="0" w:color="auto"/>
        <w:left w:val="none" w:sz="0" w:space="0" w:color="auto"/>
        <w:bottom w:val="none" w:sz="0" w:space="0" w:color="auto"/>
        <w:right w:val="none" w:sz="0" w:space="0" w:color="auto"/>
      </w:divBdr>
    </w:div>
    <w:div w:id="1026177795">
      <w:bodyDiv w:val="1"/>
      <w:marLeft w:val="0"/>
      <w:marRight w:val="0"/>
      <w:marTop w:val="0"/>
      <w:marBottom w:val="0"/>
      <w:divBdr>
        <w:top w:val="none" w:sz="0" w:space="0" w:color="auto"/>
        <w:left w:val="none" w:sz="0" w:space="0" w:color="auto"/>
        <w:bottom w:val="none" w:sz="0" w:space="0" w:color="auto"/>
        <w:right w:val="none" w:sz="0" w:space="0" w:color="auto"/>
      </w:divBdr>
    </w:div>
    <w:div w:id="1205409067">
      <w:bodyDiv w:val="1"/>
      <w:marLeft w:val="0"/>
      <w:marRight w:val="0"/>
      <w:marTop w:val="0"/>
      <w:marBottom w:val="0"/>
      <w:divBdr>
        <w:top w:val="none" w:sz="0" w:space="0" w:color="auto"/>
        <w:left w:val="none" w:sz="0" w:space="0" w:color="auto"/>
        <w:bottom w:val="none" w:sz="0" w:space="0" w:color="auto"/>
        <w:right w:val="none" w:sz="0" w:space="0" w:color="auto"/>
      </w:divBdr>
    </w:div>
    <w:div w:id="1253466571">
      <w:bodyDiv w:val="1"/>
      <w:marLeft w:val="0"/>
      <w:marRight w:val="0"/>
      <w:marTop w:val="0"/>
      <w:marBottom w:val="0"/>
      <w:divBdr>
        <w:top w:val="none" w:sz="0" w:space="0" w:color="auto"/>
        <w:left w:val="none" w:sz="0" w:space="0" w:color="auto"/>
        <w:bottom w:val="none" w:sz="0" w:space="0" w:color="auto"/>
        <w:right w:val="none" w:sz="0" w:space="0" w:color="auto"/>
      </w:divBdr>
    </w:div>
    <w:div w:id="1335498110">
      <w:bodyDiv w:val="1"/>
      <w:marLeft w:val="0"/>
      <w:marRight w:val="0"/>
      <w:marTop w:val="0"/>
      <w:marBottom w:val="0"/>
      <w:divBdr>
        <w:top w:val="none" w:sz="0" w:space="0" w:color="auto"/>
        <w:left w:val="none" w:sz="0" w:space="0" w:color="auto"/>
        <w:bottom w:val="none" w:sz="0" w:space="0" w:color="auto"/>
        <w:right w:val="none" w:sz="0" w:space="0" w:color="auto"/>
      </w:divBdr>
    </w:div>
    <w:div w:id="1368797142">
      <w:bodyDiv w:val="1"/>
      <w:marLeft w:val="0"/>
      <w:marRight w:val="0"/>
      <w:marTop w:val="0"/>
      <w:marBottom w:val="0"/>
      <w:divBdr>
        <w:top w:val="none" w:sz="0" w:space="0" w:color="auto"/>
        <w:left w:val="none" w:sz="0" w:space="0" w:color="auto"/>
        <w:bottom w:val="none" w:sz="0" w:space="0" w:color="auto"/>
        <w:right w:val="none" w:sz="0" w:space="0" w:color="auto"/>
      </w:divBdr>
    </w:div>
    <w:div w:id="1398282211">
      <w:bodyDiv w:val="1"/>
      <w:marLeft w:val="0"/>
      <w:marRight w:val="0"/>
      <w:marTop w:val="0"/>
      <w:marBottom w:val="0"/>
      <w:divBdr>
        <w:top w:val="none" w:sz="0" w:space="0" w:color="auto"/>
        <w:left w:val="none" w:sz="0" w:space="0" w:color="auto"/>
        <w:bottom w:val="none" w:sz="0" w:space="0" w:color="auto"/>
        <w:right w:val="none" w:sz="0" w:space="0" w:color="auto"/>
      </w:divBdr>
    </w:div>
    <w:div w:id="1427455974">
      <w:bodyDiv w:val="1"/>
      <w:marLeft w:val="0"/>
      <w:marRight w:val="0"/>
      <w:marTop w:val="0"/>
      <w:marBottom w:val="0"/>
      <w:divBdr>
        <w:top w:val="none" w:sz="0" w:space="0" w:color="auto"/>
        <w:left w:val="none" w:sz="0" w:space="0" w:color="auto"/>
        <w:bottom w:val="none" w:sz="0" w:space="0" w:color="auto"/>
        <w:right w:val="none" w:sz="0" w:space="0" w:color="auto"/>
      </w:divBdr>
    </w:div>
    <w:div w:id="1461025338">
      <w:bodyDiv w:val="1"/>
      <w:marLeft w:val="0"/>
      <w:marRight w:val="0"/>
      <w:marTop w:val="0"/>
      <w:marBottom w:val="0"/>
      <w:divBdr>
        <w:top w:val="none" w:sz="0" w:space="0" w:color="auto"/>
        <w:left w:val="none" w:sz="0" w:space="0" w:color="auto"/>
        <w:bottom w:val="none" w:sz="0" w:space="0" w:color="auto"/>
        <w:right w:val="none" w:sz="0" w:space="0" w:color="auto"/>
      </w:divBdr>
    </w:div>
    <w:div w:id="1611545080">
      <w:bodyDiv w:val="1"/>
      <w:marLeft w:val="0"/>
      <w:marRight w:val="0"/>
      <w:marTop w:val="0"/>
      <w:marBottom w:val="0"/>
      <w:divBdr>
        <w:top w:val="none" w:sz="0" w:space="0" w:color="auto"/>
        <w:left w:val="none" w:sz="0" w:space="0" w:color="auto"/>
        <w:bottom w:val="none" w:sz="0" w:space="0" w:color="auto"/>
        <w:right w:val="none" w:sz="0" w:space="0" w:color="auto"/>
      </w:divBdr>
    </w:div>
    <w:div w:id="1699700229">
      <w:bodyDiv w:val="1"/>
      <w:marLeft w:val="0"/>
      <w:marRight w:val="0"/>
      <w:marTop w:val="0"/>
      <w:marBottom w:val="0"/>
      <w:divBdr>
        <w:top w:val="none" w:sz="0" w:space="0" w:color="auto"/>
        <w:left w:val="none" w:sz="0" w:space="0" w:color="auto"/>
        <w:bottom w:val="none" w:sz="0" w:space="0" w:color="auto"/>
        <w:right w:val="none" w:sz="0" w:space="0" w:color="auto"/>
      </w:divBdr>
    </w:div>
    <w:div w:id="1767649197">
      <w:bodyDiv w:val="1"/>
      <w:marLeft w:val="0"/>
      <w:marRight w:val="0"/>
      <w:marTop w:val="0"/>
      <w:marBottom w:val="0"/>
      <w:divBdr>
        <w:top w:val="none" w:sz="0" w:space="0" w:color="auto"/>
        <w:left w:val="none" w:sz="0" w:space="0" w:color="auto"/>
        <w:bottom w:val="none" w:sz="0" w:space="0" w:color="auto"/>
        <w:right w:val="none" w:sz="0" w:space="0" w:color="auto"/>
      </w:divBdr>
    </w:div>
    <w:div w:id="1773014559">
      <w:bodyDiv w:val="1"/>
      <w:marLeft w:val="0"/>
      <w:marRight w:val="0"/>
      <w:marTop w:val="0"/>
      <w:marBottom w:val="0"/>
      <w:divBdr>
        <w:top w:val="none" w:sz="0" w:space="0" w:color="auto"/>
        <w:left w:val="none" w:sz="0" w:space="0" w:color="auto"/>
        <w:bottom w:val="none" w:sz="0" w:space="0" w:color="auto"/>
        <w:right w:val="none" w:sz="0" w:space="0" w:color="auto"/>
      </w:divBdr>
    </w:div>
    <w:div w:id="1827474273">
      <w:bodyDiv w:val="1"/>
      <w:marLeft w:val="0"/>
      <w:marRight w:val="0"/>
      <w:marTop w:val="0"/>
      <w:marBottom w:val="0"/>
      <w:divBdr>
        <w:top w:val="none" w:sz="0" w:space="0" w:color="auto"/>
        <w:left w:val="none" w:sz="0" w:space="0" w:color="auto"/>
        <w:bottom w:val="none" w:sz="0" w:space="0" w:color="auto"/>
        <w:right w:val="none" w:sz="0" w:space="0" w:color="auto"/>
      </w:divBdr>
    </w:div>
    <w:div w:id="1859850552">
      <w:bodyDiv w:val="1"/>
      <w:marLeft w:val="0"/>
      <w:marRight w:val="0"/>
      <w:marTop w:val="0"/>
      <w:marBottom w:val="0"/>
      <w:divBdr>
        <w:top w:val="none" w:sz="0" w:space="0" w:color="auto"/>
        <w:left w:val="none" w:sz="0" w:space="0" w:color="auto"/>
        <w:bottom w:val="none" w:sz="0" w:space="0" w:color="auto"/>
        <w:right w:val="none" w:sz="0" w:space="0" w:color="auto"/>
      </w:divBdr>
    </w:div>
    <w:div w:id="1871642932">
      <w:bodyDiv w:val="1"/>
      <w:marLeft w:val="0"/>
      <w:marRight w:val="0"/>
      <w:marTop w:val="0"/>
      <w:marBottom w:val="0"/>
      <w:divBdr>
        <w:top w:val="none" w:sz="0" w:space="0" w:color="auto"/>
        <w:left w:val="none" w:sz="0" w:space="0" w:color="auto"/>
        <w:bottom w:val="none" w:sz="0" w:space="0" w:color="auto"/>
        <w:right w:val="none" w:sz="0" w:space="0" w:color="auto"/>
      </w:divBdr>
    </w:div>
    <w:div w:id="1876693876">
      <w:bodyDiv w:val="1"/>
      <w:marLeft w:val="0"/>
      <w:marRight w:val="0"/>
      <w:marTop w:val="0"/>
      <w:marBottom w:val="0"/>
      <w:divBdr>
        <w:top w:val="none" w:sz="0" w:space="0" w:color="auto"/>
        <w:left w:val="none" w:sz="0" w:space="0" w:color="auto"/>
        <w:bottom w:val="none" w:sz="0" w:space="0" w:color="auto"/>
        <w:right w:val="none" w:sz="0" w:space="0" w:color="auto"/>
      </w:divBdr>
    </w:div>
    <w:div w:id="1885487241">
      <w:bodyDiv w:val="1"/>
      <w:marLeft w:val="0"/>
      <w:marRight w:val="0"/>
      <w:marTop w:val="0"/>
      <w:marBottom w:val="0"/>
      <w:divBdr>
        <w:top w:val="none" w:sz="0" w:space="0" w:color="auto"/>
        <w:left w:val="none" w:sz="0" w:space="0" w:color="auto"/>
        <w:bottom w:val="none" w:sz="0" w:space="0" w:color="auto"/>
        <w:right w:val="none" w:sz="0" w:space="0" w:color="auto"/>
      </w:divBdr>
    </w:div>
    <w:div w:id="1996372387">
      <w:bodyDiv w:val="1"/>
      <w:marLeft w:val="0"/>
      <w:marRight w:val="0"/>
      <w:marTop w:val="0"/>
      <w:marBottom w:val="0"/>
      <w:divBdr>
        <w:top w:val="none" w:sz="0" w:space="0" w:color="auto"/>
        <w:left w:val="none" w:sz="0" w:space="0" w:color="auto"/>
        <w:bottom w:val="none" w:sz="0" w:space="0" w:color="auto"/>
        <w:right w:val="none" w:sz="0" w:space="0" w:color="auto"/>
      </w:divBdr>
      <w:divsChild>
        <w:div w:id="729614600">
          <w:marLeft w:val="547"/>
          <w:marRight w:val="0"/>
          <w:marTop w:val="120"/>
          <w:marBottom w:val="120"/>
          <w:divBdr>
            <w:top w:val="none" w:sz="0" w:space="0" w:color="auto"/>
            <w:left w:val="none" w:sz="0" w:space="0" w:color="auto"/>
            <w:bottom w:val="none" w:sz="0" w:space="0" w:color="auto"/>
            <w:right w:val="none" w:sz="0" w:space="0" w:color="auto"/>
          </w:divBdr>
        </w:div>
        <w:div w:id="864683428">
          <w:marLeft w:val="547"/>
          <w:marRight w:val="0"/>
          <w:marTop w:val="120"/>
          <w:marBottom w:val="120"/>
          <w:divBdr>
            <w:top w:val="none" w:sz="0" w:space="0" w:color="auto"/>
            <w:left w:val="none" w:sz="0" w:space="0" w:color="auto"/>
            <w:bottom w:val="none" w:sz="0" w:space="0" w:color="auto"/>
            <w:right w:val="none" w:sz="0" w:space="0" w:color="auto"/>
          </w:divBdr>
        </w:div>
        <w:div w:id="2037189841">
          <w:marLeft w:val="547"/>
          <w:marRight w:val="0"/>
          <w:marTop w:val="120"/>
          <w:marBottom w:val="120"/>
          <w:divBdr>
            <w:top w:val="none" w:sz="0" w:space="0" w:color="auto"/>
            <w:left w:val="none" w:sz="0" w:space="0" w:color="auto"/>
            <w:bottom w:val="none" w:sz="0" w:space="0" w:color="auto"/>
            <w:right w:val="none" w:sz="0" w:space="0" w:color="auto"/>
          </w:divBdr>
        </w:div>
      </w:divsChild>
    </w:div>
    <w:div w:id="20988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hyperlink" Target="https://www.youtube.com/user/INEGIInforma" TargetMode="External"/><Relationship Id="rId34" Type="http://schemas.openxmlformats.org/officeDocument/2006/relationships/image" Target="media/image17.emf"/><Relationship Id="rId42" Type="http://schemas.openxmlformats.org/officeDocument/2006/relationships/hyperlink" Target="https://www.inegi.org.mx/programas/itae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w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acebook.com/INEGIInforma/" TargetMode="External"/><Relationship Id="rId23" Type="http://schemas.openxmlformats.org/officeDocument/2006/relationships/hyperlink" Target="http://www.inegi.org.mx/" TargetMode="External"/><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header" Target="header2.xml"/><Relationship Id="rId19" Type="http://schemas.openxmlformats.org/officeDocument/2006/relationships/hyperlink" Target="https://twitter.com/INEGI_INFORMA" TargetMode="External"/><Relationship Id="rId31" Type="http://schemas.openxmlformats.org/officeDocument/2006/relationships/image" Target="media/image14.wmf"/><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yperlink" Target="http://www.inegi.org.mx"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instagram.com/inegi_informa/"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s://www.inegi.org.mx/temas/ita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BA09-C192-43FD-8D3E-DC493A04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2001</Words>
  <Characters>11699</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Comunicado de Prensa. Anuncia el INEGI la publicación del Indicador Trimestral de la Actividad Económica Estatal (ITAEE)</vt:lpstr>
    </vt:vector>
  </TitlesOfParts>
  <Company>INEGI</Company>
  <LinksUpToDate>false</LinksUpToDate>
  <CharactersWithSpaces>13673</CharactersWithSpaces>
  <SharedDoc>false</SharedDoc>
  <HLinks>
    <vt:vector size="12" baseType="variant">
      <vt:variant>
        <vt:i4>262227</vt:i4>
      </vt:variant>
      <vt:variant>
        <vt:i4>3</vt:i4>
      </vt:variant>
      <vt:variant>
        <vt:i4>0</vt:i4>
      </vt:variant>
      <vt:variant>
        <vt:i4>5</vt:i4>
      </vt:variant>
      <vt:variant>
        <vt:lpwstr>http://www.inegi.org.mx/</vt:lpwstr>
      </vt:variant>
      <vt:variant>
        <vt:lpwstr/>
      </vt:variant>
      <vt:variant>
        <vt:i4>720965</vt:i4>
      </vt:variant>
      <vt:variant>
        <vt:i4>0</vt:i4>
      </vt:variant>
      <vt:variant>
        <vt:i4>0</vt:i4>
      </vt:variant>
      <vt:variant>
        <vt:i4>5</vt:i4>
      </vt:variant>
      <vt:variant>
        <vt:lpwstr>http://www.inegi.org.mx/est/contenidos/proyectos/cn/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Anuncia el INEGI la publicación del Indicador Trimestral de la Actividad Económica Estatal (ITAEE)</dc:title>
  <dc:subject/>
  <dc:creator>INEGI</dc:creator>
  <cp:keywords>SCNM, Indicador Trimestral de la actividad económica estatal</cp:keywords>
  <cp:lastModifiedBy>RUMBO QUINTAL GUADALUPE</cp:lastModifiedBy>
  <cp:revision>2</cp:revision>
  <cp:lastPrinted>2011-10-24T13:27:00Z</cp:lastPrinted>
  <dcterms:created xsi:type="dcterms:W3CDTF">2019-07-31T18:24:00Z</dcterms:created>
  <dcterms:modified xsi:type="dcterms:W3CDTF">2019-07-31T18:24:00Z</dcterms:modified>
  <cp:category>Otros temas económicos</cp:category>
</cp:coreProperties>
</file>